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jc w:val="center"/>
        <w:rPr>
          <w:b/>
          <w:sz w:val="32"/>
          <w:szCs w:val="32"/>
        </w:rPr>
      </w:pPr>
      <w:r>
        <w:rPr>
          <w:rFonts w:hint="eastAsia"/>
          <w:b/>
          <w:sz w:val="32"/>
          <w:szCs w:val="32"/>
        </w:rPr>
        <w:t>杭银理财幸福99添益系列理财计划风险揭示书</w:t>
      </w:r>
    </w:p>
    <w:p>
      <w:pPr>
        <w:autoSpaceDE w:val="0"/>
        <w:autoSpaceDN w:val="0"/>
        <w:adjustRightInd w:val="0"/>
        <w:spacing w:line="360" w:lineRule="auto"/>
        <w:jc w:val="center"/>
        <w:rPr>
          <w:rFonts w:ascii="宋体" w:hAnsi="宋体"/>
          <w:kern w:val="0"/>
        </w:rPr>
      </w:pPr>
      <w:r>
        <w:rPr>
          <w:rFonts w:hint="eastAsia" w:ascii="宋体" w:hAnsi="宋体"/>
          <w:b/>
          <w:kern w:val="0"/>
        </w:rPr>
        <w:t>“理财非存款、产品有风险、投资须谨慎</w:t>
      </w:r>
      <w:r>
        <w:rPr>
          <w:rFonts w:hint="eastAsia" w:ascii="宋体" w:hAnsi="宋体"/>
          <w:kern w:val="0"/>
        </w:rPr>
        <w:t>”</w:t>
      </w:r>
    </w:p>
    <w:p>
      <w:pPr>
        <w:autoSpaceDE w:val="0"/>
        <w:autoSpaceDN w:val="0"/>
        <w:spacing w:line="360" w:lineRule="auto"/>
        <w:rPr>
          <w:rFonts w:ascii="宋体" w:hAnsi="宋体" w:cs="宋体"/>
          <w:kern w:val="0"/>
        </w:rPr>
      </w:pPr>
      <w:r>
        <w:rPr>
          <w:rFonts w:hint="eastAsia" w:ascii="宋体" w:hAnsi="宋体" w:cs="宋体"/>
          <w:kern w:val="0"/>
        </w:rPr>
        <w:t>尊敬的理财投资者：</w:t>
      </w:r>
    </w:p>
    <w:p>
      <w:pPr>
        <w:autoSpaceDE w:val="0"/>
        <w:autoSpaceDN w:val="0"/>
        <w:spacing w:line="520" w:lineRule="exact"/>
        <w:ind w:firstLine="420" w:firstLineChars="200"/>
        <w:rPr>
          <w:rFonts w:ascii="宋体" w:hAnsi="宋体" w:cs="宋体"/>
          <w:color w:val="000000"/>
          <w:kern w:val="0"/>
        </w:rPr>
      </w:pPr>
      <w:r>
        <w:rPr>
          <w:rFonts w:hint="eastAsia" w:ascii="宋体" w:hAnsi="宋体" w:cs="宋体"/>
          <w:kern w:val="0"/>
        </w:rPr>
        <w:t>本理财产品：杭银理财幸福99添益系列理财计划，属于</w:t>
      </w:r>
      <w:r>
        <w:rPr>
          <w:rFonts w:hint="eastAsia" w:ascii="宋体" w:hAnsi="宋体" w:cs="宋体"/>
          <w:b/>
          <w:kern w:val="0"/>
          <w:sz w:val="24"/>
          <w:szCs w:val="24"/>
        </w:rPr>
        <w:t>定期开放式非保本净值型</w:t>
      </w:r>
      <w:r>
        <w:rPr>
          <w:rFonts w:hint="eastAsia" w:ascii="宋体" w:hAnsi="宋体" w:cs="宋体"/>
          <w:bCs/>
          <w:kern w:val="0"/>
        </w:rPr>
        <w:t>理财产品</w:t>
      </w:r>
      <w:r>
        <w:rPr>
          <w:rFonts w:hint="eastAsia" w:ascii="宋体" w:hAnsi="宋体" w:cs="宋体"/>
          <w:kern w:val="0"/>
        </w:rPr>
        <w:t>，为</w:t>
      </w:r>
      <w:r>
        <w:rPr>
          <w:rFonts w:hint="eastAsia" w:ascii="宋体" w:hAnsi="宋体" w:cs="宋体"/>
          <w:b/>
          <w:kern w:val="0"/>
          <w:sz w:val="24"/>
          <w:szCs w:val="24"/>
        </w:rPr>
        <w:t>公募固定收益类</w:t>
      </w:r>
      <w:r>
        <w:rPr>
          <w:rFonts w:hint="eastAsia" w:ascii="宋体" w:hAnsi="宋体" w:cs="宋体"/>
          <w:kern w:val="0"/>
        </w:rPr>
        <w:t>理财产品</w:t>
      </w:r>
      <w:r>
        <w:rPr>
          <w:rFonts w:hint="eastAsia" w:ascii="宋体" w:hAnsi="宋体" w:cs="宋体"/>
          <w:b/>
          <w:kern w:val="0"/>
        </w:rPr>
        <w:t>。</w:t>
      </w:r>
      <w:r>
        <w:rPr>
          <w:rFonts w:hint="eastAsia" w:ascii="宋体" w:hAnsi="宋体" w:cs="宋体"/>
          <w:color w:val="000000"/>
          <w:kern w:val="0"/>
        </w:rPr>
        <w:t>本产品有投资风险，不保证本金和收益，理财本金与收益可能会因市场变动而蒙受重大损失。产品以产品开放确认时的单位净值，按照“金额申购、份额赎回”的原则计算投资者申购份额和赎回资金，产品净值可能会有波动，投资者持有的理财计划份额可能会有浮亏或浮盈，赎回的理财份额可能会损失部分本金，若终止日发生净值大幅度下降的最不利情形，投资者可能将遭受本金的重大甚至全部损失。管理人对本产品的内部风险评级结果为</w:t>
      </w:r>
      <w:r>
        <w:rPr>
          <w:rFonts w:hint="eastAsia" w:ascii="宋体" w:hAnsi="宋体" w:cs="宋体"/>
          <w:b/>
          <w:color w:val="000000"/>
          <w:kern w:val="0"/>
          <w:sz w:val="30"/>
          <w:szCs w:val="30"/>
        </w:rPr>
        <w:t>R2</w:t>
      </w:r>
      <w:r>
        <w:rPr>
          <w:rFonts w:hint="eastAsia" w:ascii="宋体" w:hAnsi="宋体" w:cs="宋体"/>
          <w:color w:val="000000"/>
          <w:kern w:val="0"/>
        </w:rPr>
        <w:t>,中低风险，本产品理财本金亏损的概率较低。</w:t>
      </w:r>
    </w:p>
    <w:p>
      <w:pPr>
        <w:autoSpaceDE w:val="0"/>
        <w:autoSpaceDN w:val="0"/>
        <w:spacing w:line="520" w:lineRule="exact"/>
        <w:ind w:firstLine="422" w:firstLineChars="200"/>
        <w:rPr>
          <w:rFonts w:ascii="宋体" w:hAnsi="宋体" w:cs="宋体"/>
          <w:b/>
          <w:kern w:val="0"/>
        </w:rPr>
      </w:pPr>
      <w:r>
        <w:rPr>
          <w:rFonts w:hint="eastAsia" w:ascii="宋体" w:hAnsi="宋体" w:cs="宋体"/>
          <w:b/>
          <w:bCs/>
          <w:color w:val="000000"/>
          <w:kern w:val="0"/>
        </w:rPr>
        <w:t>您应仔细阅读理财产品风险揭示书、理财产品说明书、投资者权益须知、理财</w:t>
      </w:r>
      <w:r>
        <w:rPr>
          <w:rFonts w:hint="eastAsia" w:ascii="宋体" w:hAnsi="宋体" w:cs="宋体"/>
          <w:b/>
          <w:bCs/>
          <w:color w:val="000000"/>
          <w:kern w:val="0"/>
          <w:lang w:val="en-US" w:eastAsia="zh-CN"/>
        </w:rPr>
        <w:t>计划投资</w:t>
      </w:r>
      <w:r>
        <w:rPr>
          <w:rFonts w:hint="eastAsia" w:ascii="宋体" w:hAnsi="宋体" w:cs="宋体"/>
          <w:b/>
          <w:bCs/>
          <w:color w:val="000000"/>
          <w:kern w:val="0"/>
        </w:rPr>
        <w:t>协议书</w:t>
      </w:r>
      <w:r>
        <w:rPr>
          <w:rFonts w:hint="eastAsia" w:ascii="宋体" w:hAnsi="宋体" w:cs="宋体"/>
          <w:b/>
          <w:bCs/>
          <w:color w:val="000000"/>
          <w:kern w:val="0"/>
          <w:lang w:eastAsia="zh-CN"/>
        </w:rPr>
        <w:t>、</w:t>
      </w:r>
      <w:r>
        <w:rPr>
          <w:rFonts w:hint="eastAsia" w:ascii="宋体" w:hAnsi="宋体" w:cs="宋体"/>
          <w:b/>
          <w:bCs/>
          <w:color w:val="000000"/>
          <w:kern w:val="0"/>
          <w:lang w:val="en-US" w:eastAsia="zh-CN"/>
        </w:rPr>
        <w:t>理财计划销售协议书</w:t>
      </w:r>
      <w:r>
        <w:rPr>
          <w:rFonts w:hint="eastAsia" w:ascii="宋体" w:hAnsi="宋体" w:cs="宋体"/>
          <w:b/>
          <w:bCs/>
          <w:color w:val="000000"/>
          <w:kern w:val="0"/>
        </w:rPr>
        <w:t>全部条款</w:t>
      </w:r>
      <w:r>
        <w:rPr>
          <w:rFonts w:hint="eastAsia" w:ascii="宋体" w:hAnsi="宋体" w:cs="宋体"/>
          <w:color w:val="000000"/>
          <w:kern w:val="0"/>
        </w:rPr>
        <w:t>，这些销售文件将共同构成与管理人之间的理财交易合同（若电子银行购买的，成功交易后视同为投资者与杭银理财已完成理财计划交易合同的签订），同时您还可向销售机构详细了解本理财产品特性、资金投向及投资组合安排、风险揭示内容及风险管控措施。本理财产品最终收益的实现将视市场情况等因素而定，您应该充分认识本产品的投资风险，敬请仔细判别，谨慎投资：</w:t>
      </w:r>
    </w:p>
    <w:p>
      <w:pPr>
        <w:spacing w:line="520" w:lineRule="exact"/>
        <w:rPr>
          <w:kern w:val="0"/>
        </w:rPr>
      </w:pPr>
      <w:r>
        <w:rPr>
          <w:rFonts w:hint="eastAsia"/>
          <w:kern w:val="0"/>
        </w:rPr>
        <w:t>第一条、理财产品共性风险提示和管控措施</w:t>
      </w:r>
    </w:p>
    <w:p>
      <w:pPr>
        <w:autoSpaceDE w:val="0"/>
        <w:autoSpaceDN w:val="0"/>
        <w:spacing w:line="520" w:lineRule="exact"/>
        <w:ind w:firstLine="420"/>
        <w:jc w:val="left"/>
        <w:rPr>
          <w:rFonts w:ascii="宋体" w:hAnsi="宋体" w:cs="宋体"/>
        </w:rPr>
      </w:pPr>
      <w:r>
        <w:rPr>
          <w:rFonts w:hint="eastAsia" w:ascii="宋体" w:hAnsi="宋体" w:cs="宋体"/>
        </w:rPr>
        <w:t>（一）信用风险：理财产品面临的信用风险主要是指因理财产品配置资产所涉及的相关债务主体到期未能履行还款义务，使理财产品本金或收益蒙受损失的风险。</w:t>
      </w:r>
    </w:p>
    <w:p>
      <w:pPr>
        <w:autoSpaceDE w:val="0"/>
        <w:autoSpaceDN w:val="0"/>
        <w:spacing w:line="520" w:lineRule="exact"/>
        <w:ind w:firstLine="420"/>
        <w:jc w:val="left"/>
        <w:rPr>
          <w:rFonts w:ascii="宋体" w:hAnsi="宋体" w:cs="宋体"/>
        </w:rPr>
      </w:pPr>
      <w:r>
        <w:rPr>
          <w:rFonts w:hint="eastAsia" w:ascii="宋体" w:hAnsi="宋体" w:cs="宋体"/>
        </w:rPr>
        <w:t xml:space="preserve"> 管理人针对理财产品配置资产的不同特征，采取了多种管理措施，针对有信用评级的固定收益产品，将其纳入信用产品投资管理范畴，依据其信用评级、财务状况、市场影响等多重指标对已投资和待投资的资产定期进行评估，符合投资要求的信用产品方可继续持有或允许投资，不符合投资要求的资产则限期出售或不予投资，并在运作过程中严格监控所投资资产的信用等级，以控制理财产品的信用风险。</w:t>
      </w:r>
    </w:p>
    <w:p>
      <w:pPr>
        <w:autoSpaceDE w:val="0"/>
        <w:autoSpaceDN w:val="0"/>
        <w:spacing w:line="520" w:lineRule="exact"/>
        <w:ind w:firstLine="420"/>
        <w:jc w:val="left"/>
        <w:rPr>
          <w:rFonts w:ascii="宋体" w:hAnsi="宋体" w:cs="宋体"/>
        </w:rPr>
      </w:pPr>
      <w:r>
        <w:rPr>
          <w:rFonts w:hint="eastAsia" w:ascii="宋体" w:hAnsi="宋体" w:cs="宋体"/>
        </w:rPr>
        <w:t>（二）市场风险：理财产品面临的市场风险主要指因国家政策、经济周期、利率、汇率等因素可能发生变化，使得理财产品配置资产的价格发生波动，导致理财产品本金或收益蒙受损失的风险。</w:t>
      </w:r>
    </w:p>
    <w:p>
      <w:pPr>
        <w:autoSpaceDE w:val="0"/>
        <w:autoSpaceDN w:val="0"/>
        <w:spacing w:line="520" w:lineRule="exact"/>
        <w:ind w:firstLine="420"/>
        <w:jc w:val="left"/>
        <w:rPr>
          <w:rFonts w:ascii="宋体" w:hAnsi="宋体" w:cs="宋体"/>
        </w:rPr>
      </w:pPr>
      <w:r>
        <w:rPr>
          <w:rFonts w:hint="eastAsia" w:ascii="宋体" w:hAnsi="宋体" w:cs="宋体"/>
        </w:rPr>
        <w:t xml:space="preserve"> 管理人主要依托银行间市场、证券交易所交易平台，密切监控理财产品配置资产的交易情况，定期进行估值，如交易价格或成交量发生异动、重大事件发生时（债券发行人涉及亏损、诉讼等），及时采取相应措施，控制理财产品面临的市场风险。本期理财产品也将面临一定的因相关金融工具市场价格波动而带来的市场风险。</w:t>
      </w:r>
    </w:p>
    <w:p>
      <w:pPr>
        <w:autoSpaceDE w:val="0"/>
        <w:autoSpaceDN w:val="0"/>
        <w:spacing w:line="520" w:lineRule="exact"/>
        <w:ind w:firstLine="420"/>
        <w:jc w:val="left"/>
        <w:rPr>
          <w:rFonts w:ascii="宋体" w:hAnsi="宋体" w:cs="宋体"/>
        </w:rPr>
      </w:pPr>
      <w:r>
        <w:rPr>
          <w:rFonts w:hint="eastAsia" w:ascii="宋体" w:hAnsi="宋体" w:cs="宋体"/>
          <w:color w:val="000000"/>
        </w:rPr>
        <w:t>（三）流动性风险：指理财计划投资组合内的资产不能迅速转变成现金，或因资产变现而导致的额外资金成本增加的风险。本理财产品存续期间，投资者只能在本理财产品说明书规定的时间内办理申购与赎回，投资者在其他时间急需流动性时，无法及时变现理财产品。理财产品存续期内任一交易日，若遇大额赎回时，可能影响投资者的资金安排，带来流动性风险。</w:t>
      </w:r>
    </w:p>
    <w:p>
      <w:pPr>
        <w:autoSpaceDE w:val="0"/>
        <w:autoSpaceDN w:val="0"/>
        <w:spacing w:line="520" w:lineRule="exact"/>
        <w:ind w:firstLine="420"/>
        <w:jc w:val="left"/>
        <w:rPr>
          <w:rFonts w:ascii="宋体" w:hAnsi="宋体" w:cs="宋体"/>
        </w:rPr>
      </w:pPr>
      <w:r>
        <w:rPr>
          <w:rFonts w:hint="eastAsia" w:ascii="宋体" w:hAnsi="宋体" w:cs="宋体"/>
        </w:rPr>
        <w:t>从理财产品资产配置的角度，管理人内部风险评估在理财产品成立期初，对理财产品及其所配置资产的存续期进行评估，配置资产中可以变现的高流动性资产保持较高的比例并对理财产品所配置资产自身的流动性进行分析，对流动性较差的资产，将谨慎投资，以控制流动性风险；在投资者方面，管理人将充分提示投资者根据本理财产品定期开放的期限，合理安排自身投资计划。</w:t>
      </w:r>
      <w:r>
        <w:rPr>
          <w:rFonts w:hint="eastAsia" w:ascii="宋体" w:hAnsi="宋体" w:cs="宋体"/>
          <w:b/>
        </w:rPr>
        <w:t>从投资者的角度，本理财产品为定期开放式理财产品，每相邻两个开放期之间时段不能提前赎回，投资者应充分考虑并合理安排自身投资计划</w:t>
      </w:r>
      <w:r>
        <w:rPr>
          <w:rFonts w:hint="eastAsia" w:ascii="宋体" w:hAnsi="宋体" w:cs="宋体"/>
        </w:rPr>
        <w:t xml:space="preserve">。 </w:t>
      </w:r>
    </w:p>
    <w:p>
      <w:pPr>
        <w:autoSpaceDE w:val="0"/>
        <w:autoSpaceDN w:val="0"/>
        <w:spacing w:line="520" w:lineRule="exact"/>
        <w:ind w:firstLine="426"/>
        <w:jc w:val="left"/>
        <w:rPr>
          <w:rFonts w:ascii="宋体" w:hAnsi="宋体" w:cs="宋体"/>
        </w:rPr>
      </w:pPr>
      <w:r>
        <w:rPr>
          <w:rFonts w:hint="eastAsia" w:ascii="宋体" w:hAnsi="宋体" w:cs="宋体"/>
        </w:rPr>
        <w:t>（四）交易对手风险：理财产品面临的交易对手风险主要是指管理人为理财产品配置资产的过程中，因交易对手交易失误等原因，导致理财产品本金或收益蒙受损失的风险。</w:t>
      </w:r>
    </w:p>
    <w:p>
      <w:pPr>
        <w:autoSpaceDE w:val="0"/>
        <w:autoSpaceDN w:val="0"/>
        <w:spacing w:line="520" w:lineRule="exact"/>
        <w:ind w:firstLine="420"/>
        <w:jc w:val="left"/>
        <w:rPr>
          <w:rFonts w:ascii="宋体" w:hAnsi="宋体" w:cs="宋体"/>
        </w:rPr>
      </w:pPr>
      <w:r>
        <w:rPr>
          <w:rFonts w:hint="eastAsia" w:ascii="宋体" w:hAnsi="宋体" w:cs="宋体"/>
        </w:rPr>
        <w:t xml:space="preserve"> 管理人一方面在配置资产过程中严格选择信用水平较高的交易对手，另一方面参照同业统一授信的管理方式，加强对交易对手信用状况的跟踪调查，管理理财产品配置资产过程中的交易对手风险。本理财产品在资产配置过程中也存在一定的交易对手风险。 </w:t>
      </w:r>
    </w:p>
    <w:p>
      <w:pPr>
        <w:autoSpaceDE w:val="0"/>
        <w:autoSpaceDN w:val="0"/>
        <w:spacing w:line="520" w:lineRule="exact"/>
        <w:ind w:firstLine="420"/>
        <w:jc w:val="left"/>
        <w:rPr>
          <w:rFonts w:ascii="宋体" w:hAnsi="宋体" w:cs="宋体"/>
        </w:rPr>
      </w:pPr>
      <w:r>
        <w:rPr>
          <w:rFonts w:hint="eastAsia" w:ascii="宋体" w:hAnsi="宋体" w:cs="宋体"/>
        </w:rPr>
        <w:t xml:space="preserve">（五）信息传递风险：理财产品面临的信息传递风险是指由于投资者未能及时主动了解产品信息，或由于通信故障、系统故障以及其他不可抗力等因素的影响，使得投资者无法及时了解产品信息，而导致投资者无法及时做出合理决策，致使投资蒙受损失的风险。 </w:t>
      </w:r>
    </w:p>
    <w:p>
      <w:pPr>
        <w:autoSpaceDE w:val="0"/>
        <w:autoSpaceDN w:val="0"/>
        <w:spacing w:line="520" w:lineRule="exact"/>
        <w:ind w:firstLine="420"/>
        <w:jc w:val="left"/>
        <w:rPr>
          <w:rFonts w:ascii="宋体" w:hAnsi="宋体" w:cs="宋体"/>
        </w:rPr>
      </w:pPr>
      <w:r>
        <w:rPr>
          <w:rFonts w:hint="eastAsia" w:ascii="宋体" w:hAnsi="宋体" w:cs="宋体"/>
        </w:rPr>
        <w:t>管理人或销售机构按照理财产品说明书有关条款的约定，发布理财产品的运作、到期清算或提前终止等信息公告。投资者应根据约定及时登陆管理人或销售机构网站查询，如果投资者未及时查询，或由于通信故障、系统故障以及其他不可抗力等因素的影响使得投资者无法及时了解产品信息，因此而产生的责任和风险由投资者自行承担。</w:t>
      </w:r>
      <w:r>
        <w:rPr>
          <w:rFonts w:hint="eastAsia" w:ascii="宋体" w:cs="宋体"/>
        </w:rPr>
        <w:t>对于个人投资者，</w:t>
      </w:r>
      <w:r>
        <w:rPr>
          <w:rFonts w:hint="eastAsia" w:ascii="宋体" w:hAnsi="宋体" w:cs="宋体"/>
          <w:b/>
        </w:rPr>
        <w:t>如果影响投资者风险承受能力的因素发生变化或风险承受能力评估结果已过一年的有效期，请及时完成风险承受能力评估，否则可能造成投资者无法认购，由此产生的责任和风险由投资者自行承担。</w:t>
      </w:r>
      <w:r>
        <w:rPr>
          <w:rFonts w:hint="eastAsia" w:ascii="宋体" w:hAnsi="宋体" w:cs="宋体"/>
        </w:rPr>
        <w:t>另外，投资者预留在销售机构的有效联系方式进行变更的，应及时告知销售机构，如投资者未及时告知销售机构联系方式变更的，销售机构可能在需要时无法及时联系投资者，并可能会由此影响投资者的决策，由此产生的责任和风险由投资者自行承担。</w:t>
      </w:r>
    </w:p>
    <w:p>
      <w:pPr>
        <w:autoSpaceDE w:val="0"/>
        <w:autoSpaceDN w:val="0"/>
        <w:spacing w:line="520" w:lineRule="exact"/>
        <w:ind w:firstLine="420"/>
        <w:jc w:val="left"/>
        <w:rPr>
          <w:rFonts w:ascii="宋体" w:hAnsi="宋体" w:cs="宋体"/>
        </w:rPr>
      </w:pPr>
      <w:r>
        <w:rPr>
          <w:rFonts w:hint="eastAsia" w:ascii="宋体" w:hAnsi="宋体" w:cs="宋体"/>
        </w:rPr>
        <w:t xml:space="preserve"> （六</w:t>
      </w:r>
      <w:r>
        <w:rPr>
          <w:rFonts w:ascii="宋体" w:hAnsi="宋体" w:cs="宋体"/>
        </w:rPr>
        <w:t>）</w:t>
      </w:r>
      <w:r>
        <w:rPr>
          <w:rFonts w:hint="eastAsia" w:ascii="宋体" w:hAnsi="宋体" w:cs="宋体"/>
        </w:rPr>
        <w:t xml:space="preserve"> 不可抗力风险：理财产品面临的不可抗力风险是指由于战争、重大自然灾害等不可抗力因素的出现，严重影响金融市场的正常运行，从而导致理财产品受到干扰和破坏，甚至影响理财产品的受理、投资、兑付等事宜的正常进行，进而导致投资者蒙受损失的风险。由此产生的风险由投资者自行承担。</w:t>
      </w:r>
    </w:p>
    <w:p>
      <w:pPr>
        <w:autoSpaceDE w:val="0"/>
        <w:autoSpaceDN w:val="0"/>
        <w:spacing w:line="520" w:lineRule="exact"/>
        <w:ind w:firstLine="426"/>
        <w:jc w:val="left"/>
        <w:rPr>
          <w:rFonts w:ascii="宋体" w:hAnsi="宋体" w:cs="宋体"/>
        </w:rPr>
      </w:pPr>
      <w:r>
        <w:rPr>
          <w:rFonts w:hint="eastAsia" w:ascii="宋体" w:hAnsi="宋体" w:cs="宋体"/>
        </w:rPr>
        <w:t xml:space="preserve"> （七</w:t>
      </w:r>
      <w:r>
        <w:rPr>
          <w:rFonts w:ascii="宋体" w:hAnsi="宋体" w:cs="宋体"/>
        </w:rPr>
        <w:t>）</w:t>
      </w:r>
      <w:r>
        <w:rPr>
          <w:rFonts w:hint="eastAsia" w:ascii="宋体" w:hAnsi="宋体" w:cs="宋体"/>
        </w:rPr>
        <w:t xml:space="preserve"> 代销风险：本理财产品通过代销渠道销售，投资者认购理财产品的资金由代销机构从投资者资金账户扣收；份额赎回时，赎回资金按本理财产品合同约定划付至代销机构清算账户后，由代销机构向投资者划付投资者应得赎回资金。如因投资者清算账户余额不足，或代销机构未及时足额划付资金，或代销机构清算账户内资金被依法冻结或扣划，或代销机构清算账户处于被挂失、冻结、注销或其他非正常状态等原因而导致交易失败。对于因上述原因导致的交易失败可能带来的任何损失及预期损失，投资者须自行承担或向代销机构依法主张。</w:t>
      </w:r>
    </w:p>
    <w:p>
      <w:pPr>
        <w:spacing w:line="520" w:lineRule="exact"/>
        <w:ind w:firstLine="424" w:firstLineChars="202"/>
        <w:rPr>
          <w:rFonts w:hint="eastAsia" w:ascii="宋体" w:hAnsi="Wingdings" w:cs="宋体"/>
          <w:color w:val="000000"/>
          <w:kern w:val="0"/>
        </w:rPr>
      </w:pPr>
      <w:r>
        <w:rPr>
          <w:rFonts w:hint="eastAsia" w:ascii="宋体" w:hAnsi="Wingdings" w:cs="宋体"/>
          <w:color w:val="000000"/>
          <w:kern w:val="0"/>
        </w:rPr>
        <w:t xml:space="preserve">  (八) 理财产品不成立风险：如自本理财产品认购起始日至产品成立日前，理财产品认购总金额未达到最低发行规模，或因本理财产品资产运作模式等与法律法规的规定或者监管机构的要求存在冲突，或因国家法律法规或者监管部门发布的通知、决定等导致本理财产品无法按原先约定条件成立，或市场发生剧烈波动、经管理人合理判断难以按照本产品说明书规定向投资者提供本理财产品，管理人有权宣布本理财产品不成立。若遇本理财产品不成立，管理人将于产品成立日当日通过管理人或销售机构网站及时公告相关信息，敬请投资者予以关注。</w:t>
      </w:r>
    </w:p>
    <w:p>
      <w:pPr>
        <w:spacing w:line="520" w:lineRule="exact"/>
        <w:ind w:firstLine="424" w:firstLineChars="202"/>
        <w:rPr>
          <w:rFonts w:hint="eastAsia" w:ascii="宋体" w:hAnsi="Wingdings" w:cs="Times New Roman"/>
          <w:color w:val="000000"/>
          <w:kern w:val="0"/>
        </w:rPr>
      </w:pPr>
      <w:r>
        <w:rPr>
          <w:rFonts w:hint="eastAsia" w:ascii="宋体" w:hAnsi="Wingdings" w:cs="宋体"/>
          <w:color w:val="000000"/>
          <w:kern w:val="0"/>
        </w:rPr>
        <w:t xml:space="preserve"> （九）政策风险：本理财产品是针对当前的相关法规和政策设计的，如国家宏观政策以及市场相关法规政策等发生变化，可能影响本理财产品的受理、投资、偿还等的正常进行，导致本理财产品收益降低甚至本金损失。</w:t>
      </w:r>
      <w:r>
        <w:rPr>
          <w:rFonts w:hint="eastAsia" w:ascii="宋体" w:hAnsi="宋体" w:cs="宋体"/>
        </w:rPr>
        <w:t>由此产生的风险由投资者自行承担</w:t>
      </w:r>
      <w:r>
        <w:rPr>
          <w:rFonts w:hint="eastAsia" w:ascii="宋体" w:hAnsi="Wingdings" w:cs="宋体"/>
          <w:color w:val="000000"/>
          <w:kern w:val="0"/>
        </w:rPr>
        <w:t>。</w:t>
      </w:r>
    </w:p>
    <w:p>
      <w:pPr>
        <w:spacing w:line="520" w:lineRule="exact"/>
      </w:pPr>
      <w:r>
        <w:rPr>
          <w:rFonts w:hint="eastAsia"/>
          <w:kern w:val="0"/>
        </w:rPr>
        <w:t>第二条、本理财产品特定风险揭示</w:t>
      </w:r>
    </w:p>
    <w:p>
      <w:pPr>
        <w:adjustRightInd w:val="0"/>
        <w:snapToGrid w:val="0"/>
        <w:spacing w:line="460" w:lineRule="exact"/>
        <w:ind w:firstLine="420" w:firstLineChars="200"/>
        <w:rPr>
          <w:rFonts w:ascii="宋体" w:cs="宋体"/>
          <w:bCs/>
          <w:color w:val="000000"/>
        </w:rPr>
      </w:pPr>
      <w:r>
        <w:rPr>
          <w:rFonts w:hint="eastAsia" w:ascii="宋体" w:hAnsi="宋体" w:cs="宋体"/>
        </w:rPr>
        <w:t>本理财产品类型：非保本净值型；本理财产品风险评级结果：根据本公司理财产品内部风险评级，该产品风险评级结果为</w:t>
      </w:r>
      <w:r>
        <w:rPr>
          <w:rFonts w:hint="eastAsia" w:ascii="宋体" w:hAnsi="宋体" w:cs="宋体"/>
          <w:b/>
          <w:sz w:val="24"/>
          <w:szCs w:val="24"/>
        </w:rPr>
        <w:t>R2</w:t>
      </w:r>
      <w:r>
        <w:rPr>
          <w:rFonts w:hint="eastAsia" w:ascii="宋体" w:hAnsi="宋体" w:cs="宋体"/>
        </w:rPr>
        <w:t>（本风险等级为我公司内部风险评级结果，仅供参考，我公司不对前述风险评级结果的准确性做出任何形式的保证，也不承担任何法律责任</w:t>
      </w:r>
      <w:r>
        <w:rPr>
          <w:rFonts w:hint="eastAsia" w:ascii="宋体" w:hAnsi="宋体" w:cs="宋体"/>
          <w:lang w:eastAsia="zh-CN"/>
        </w:rPr>
        <w:t>。</w:t>
      </w:r>
      <w:r>
        <w:rPr>
          <w:rFonts w:hint="eastAsia" w:ascii="宋体" w:hAnsi="宋体" w:eastAsia="宋体" w:cs="宋体"/>
          <w:b w:val="0"/>
          <w:i w:val="0"/>
          <w:caps w:val="0"/>
          <w:color w:val="333333"/>
          <w:spacing w:val="0"/>
          <w:sz w:val="21"/>
          <w:szCs w:val="21"/>
          <w:shd w:val="clear" w:fill="FFFFFF"/>
        </w:rPr>
        <w:t>本理财计划通过代理销售机构渠道销售的，理财计划产品评级应当以代理销售机构最终披露的评级结果为准</w:t>
      </w:r>
      <w:r>
        <w:rPr>
          <w:rFonts w:hint="eastAsia" w:ascii="宋体" w:hAnsi="宋体" w:cs="宋体"/>
        </w:rPr>
        <w:t>）；适合购买本理财产品的投资者：</w:t>
      </w:r>
      <w:r>
        <w:rPr>
          <w:rFonts w:hint="eastAsia" w:ascii="宋体" w:hAnsi="宋体" w:cs="宋体"/>
          <w:b/>
        </w:rPr>
        <w:t>本理财产品适合机构投资者及稳健型、平衡型、成长型、进取型的个人投资者，不向保守型个人投资者发售。</w:t>
      </w:r>
      <w:r>
        <w:rPr>
          <w:rFonts w:hint="eastAsia" w:ascii="宋体" w:hAnsi="宋体" w:cs="宋体"/>
          <w:bCs/>
        </w:rPr>
        <w:t>本理财产品投资者适应性评估由销售机构负责，销售机构应确保个人投资者的风险承受能力不低于本产品风险评级。</w:t>
      </w:r>
      <w:r>
        <w:rPr>
          <w:rFonts w:hint="eastAsia" w:ascii="宋体" w:cs="宋体"/>
          <w:bCs/>
          <w:color w:val="000000"/>
        </w:rPr>
        <w:t>本理财产品总体风险程度较低，收益波动较小，管理人不承诺本金保障。在发生最不利投资情形下（可能但并不一定发生），投资者可能无法取得收益并可能面临损失本金的风险。上述风险客观存在，敬请投资人予以充分关注！</w:t>
      </w:r>
    </w:p>
    <w:p>
      <w:pPr>
        <w:autoSpaceDE w:val="0"/>
        <w:autoSpaceDN w:val="0"/>
        <w:adjustRightInd w:val="0"/>
        <w:spacing w:line="360" w:lineRule="auto"/>
        <w:ind w:firstLine="5670" w:firstLineChars="2700"/>
        <w:jc w:val="left"/>
        <w:rPr>
          <w:rFonts w:ascii="宋体" w:hAnsi="宋体"/>
          <w:b/>
        </w:rPr>
      </w:pPr>
      <w:r>
        <w:rPr>
          <w:rFonts w:hint="eastAsia" w:ascii="宋体" w:hAnsi="宋体" w:cs="宋体"/>
          <w:kern w:val="0"/>
        </w:rPr>
        <w:t>风险提示方： 杭银理财有限责任公司</w:t>
      </w:r>
      <w:r>
        <w:rPr>
          <w:rFonts w:ascii="宋体" w:hAnsi="宋体" w:cs="宋体"/>
          <w:kern w:val="0"/>
        </w:rPr>
        <w:br w:type="page"/>
      </w:r>
      <w:r>
        <w:rPr>
          <w:rFonts w:hint="eastAsia" w:ascii="宋体" w:hAnsi="宋体"/>
          <w:b/>
        </w:rPr>
        <w:t>本理财产品全部销售工作及投资者适当性评估由销售机构负责。个人投资者应确保其在销售机构所作的风险承受能力评级结果由投资者本人填写，且风险承受能力等级不低于本产品风险评级。若投资者风险承受能力评估已超过一年，或影响风险承受能力的因素发生变化，请及时完成风险承受能力的重新评估。</w:t>
      </w:r>
    </w:p>
    <w:p>
      <w:pPr>
        <w:autoSpaceDE w:val="0"/>
        <w:autoSpaceDN w:val="0"/>
        <w:adjustRightInd w:val="0"/>
        <w:spacing w:line="360" w:lineRule="auto"/>
        <w:ind w:firstLine="2951" w:firstLineChars="1400"/>
        <w:jc w:val="left"/>
        <w:rPr>
          <w:rFonts w:ascii="宋体" w:hAnsi="宋体"/>
          <w:b/>
        </w:rPr>
      </w:pPr>
    </w:p>
    <w:p>
      <w:pPr>
        <w:autoSpaceDE w:val="0"/>
        <w:autoSpaceDN w:val="0"/>
        <w:adjustRightInd w:val="0"/>
        <w:spacing w:line="360" w:lineRule="auto"/>
        <w:ind w:firstLine="2940" w:firstLineChars="1400"/>
        <w:jc w:val="left"/>
        <w:rPr>
          <w:rFonts w:ascii="宋体" w:hAnsi="宋体" w:cs="宋体"/>
          <w:kern w:val="0"/>
        </w:rPr>
      </w:pPr>
    </w:p>
    <w:p>
      <w:pPr>
        <w:autoSpaceDE w:val="0"/>
        <w:autoSpaceDN w:val="0"/>
        <w:adjustRightInd w:val="0"/>
        <w:spacing w:line="360" w:lineRule="auto"/>
        <w:ind w:firstLine="2940" w:firstLineChars="1400"/>
        <w:jc w:val="right"/>
        <w:rPr>
          <w:rFonts w:ascii="宋体" w:hAnsi="宋体" w:cs="宋体"/>
          <w:kern w:val="0"/>
        </w:rPr>
      </w:pPr>
    </w:p>
    <w:p>
      <w:pPr>
        <w:pStyle w:val="30"/>
        <w:jc w:val="center"/>
        <w:rPr>
          <w:rFonts w:ascii="宋体" w:hAnsi="宋体"/>
          <w:b/>
          <w:color w:val="auto"/>
          <w:sz w:val="21"/>
          <w:szCs w:val="21"/>
        </w:rPr>
      </w:pPr>
      <w:r>
        <w:rPr>
          <w:rFonts w:hint="eastAsia" w:ascii="宋体" w:hAnsi="宋体"/>
          <w:b/>
          <w:color w:val="auto"/>
          <w:sz w:val="21"/>
          <w:szCs w:val="21"/>
        </w:rPr>
        <w:t>投资者确认栏（个人投资者填写）</w:t>
      </w:r>
    </w:p>
    <w:p>
      <w:pPr>
        <w:pStyle w:val="30"/>
        <w:jc w:val="both"/>
        <w:rPr>
          <w:rFonts w:ascii="宋体" w:hAnsi="宋体"/>
          <w:color w:val="auto"/>
          <w:sz w:val="21"/>
          <w:szCs w:val="21"/>
        </w:rPr>
      </w:pPr>
      <w:r>
        <w:rPr>
          <w:rFonts w:hint="eastAsia" w:ascii="宋体" w:hAnsi="宋体"/>
          <w:color w:val="auto"/>
          <w:sz w:val="21"/>
          <w:szCs w:val="21"/>
        </w:rPr>
        <w:t>本人经销售机构评估的风险承受能力等级为：</w:t>
      </w:r>
    </w:p>
    <w:p>
      <w:pPr>
        <w:pStyle w:val="30"/>
        <w:jc w:val="both"/>
        <w:rPr>
          <w:rFonts w:ascii="宋体" w:hAnsi="宋体"/>
          <w:color w:val="auto"/>
          <w:sz w:val="21"/>
          <w:szCs w:val="21"/>
          <w:u w:val="single"/>
        </w:rPr>
      </w:pPr>
      <w:r>
        <w:rPr>
          <w:rFonts w:hint="eastAsia" w:ascii="宋体" w:hAnsi="宋体"/>
          <w:color w:val="auto"/>
          <w:sz w:val="21"/>
          <w:szCs w:val="21"/>
          <w:u w:val="single"/>
        </w:rPr>
        <w:t xml:space="preserve">□保守型        □稳健型        □平衡型        □成长型        □进取型    </w:t>
      </w:r>
    </w:p>
    <w:p>
      <w:pPr>
        <w:pStyle w:val="30"/>
        <w:jc w:val="both"/>
        <w:rPr>
          <w:rFonts w:ascii="宋体" w:hAnsi="宋体"/>
          <w:b/>
          <w:bCs/>
          <w:color w:val="auto"/>
          <w:sz w:val="21"/>
          <w:szCs w:val="21"/>
        </w:rPr>
      </w:pPr>
      <w:r>
        <w:rPr>
          <w:rFonts w:hint="eastAsia" w:ascii="宋体" w:hAnsi="宋体"/>
          <w:b/>
          <w:bCs/>
          <w:color w:val="auto"/>
          <w:sz w:val="21"/>
          <w:szCs w:val="21"/>
        </w:rPr>
        <w:t>声明：本人已充分阅读《投资者权益须知》、《杭银理财幸福99半年添益理财计划产品说明书》</w:t>
      </w:r>
      <w:r>
        <w:rPr>
          <w:rFonts w:hint="eastAsia" w:ascii="宋体" w:hAnsi="宋体"/>
          <w:b/>
          <w:bCs/>
          <w:color w:val="auto"/>
          <w:sz w:val="21"/>
          <w:szCs w:val="21"/>
          <w:lang w:eastAsia="zh-CN"/>
        </w:rPr>
        <w:t>、《</w:t>
      </w:r>
      <w:r>
        <w:rPr>
          <w:rFonts w:hint="eastAsia" w:ascii="宋体" w:hAnsi="宋体"/>
          <w:b/>
          <w:bCs/>
          <w:color w:val="auto"/>
          <w:sz w:val="21"/>
          <w:szCs w:val="21"/>
        </w:rPr>
        <w:t>杭银理财理财计划投资协议书</w:t>
      </w:r>
      <w:r>
        <w:rPr>
          <w:rFonts w:hint="eastAsia" w:ascii="宋体" w:hAnsi="宋体"/>
          <w:b/>
          <w:bCs/>
          <w:color w:val="auto"/>
          <w:sz w:val="21"/>
          <w:szCs w:val="21"/>
          <w:lang w:eastAsia="zh-CN"/>
        </w:rPr>
        <w:t>》、《</w:t>
      </w:r>
      <w:r>
        <w:rPr>
          <w:rFonts w:hint="eastAsia" w:ascii="宋体" w:hAnsi="宋体"/>
          <w:b/>
          <w:bCs/>
          <w:color w:val="auto"/>
          <w:sz w:val="21"/>
          <w:szCs w:val="21"/>
        </w:rPr>
        <w:t>杭银理财理财计划销售协议书</w:t>
      </w:r>
      <w:r>
        <w:rPr>
          <w:rFonts w:hint="eastAsia" w:ascii="宋体" w:hAnsi="宋体"/>
          <w:b/>
          <w:bCs/>
          <w:color w:val="auto"/>
          <w:sz w:val="21"/>
          <w:szCs w:val="21"/>
          <w:lang w:eastAsia="zh-CN"/>
        </w:rPr>
        <w:t>》</w:t>
      </w:r>
      <w:r>
        <w:rPr>
          <w:rFonts w:hint="eastAsia" w:ascii="宋体" w:hAnsi="宋体"/>
          <w:b/>
          <w:bCs/>
          <w:color w:val="auto"/>
          <w:sz w:val="21"/>
          <w:szCs w:val="21"/>
        </w:rPr>
        <w:t>及本风险揭示书，并已对其作全面、准确的理解，充分认识到投资本理财产品要求承担的风险，并自愿承担此风险。</w:t>
      </w:r>
    </w:p>
    <w:p>
      <w:pPr>
        <w:pStyle w:val="30"/>
        <w:jc w:val="both"/>
        <w:rPr>
          <w:rFonts w:ascii="宋体" w:hAnsi="宋体"/>
          <w:b/>
          <w:color w:val="auto"/>
          <w:sz w:val="21"/>
          <w:szCs w:val="21"/>
        </w:rPr>
      </w:pPr>
      <w:r>
        <w:rPr>
          <w:rFonts w:hint="eastAsia" w:ascii="宋体" w:hAnsi="宋体"/>
          <w:color w:val="auto"/>
          <w:sz w:val="21"/>
          <w:szCs w:val="21"/>
        </w:rPr>
        <w:t>（投资者需全文抄录以下文字以完成确认：</w:t>
      </w:r>
      <w:r>
        <w:rPr>
          <w:rFonts w:hint="eastAsia" w:ascii="宋体" w:hAnsi="宋体"/>
          <w:b/>
          <w:color w:val="auto"/>
          <w:sz w:val="21"/>
          <w:szCs w:val="21"/>
        </w:rPr>
        <w:t xml:space="preserve">“本人已经阅读上述风险揭示，愿意承担投资风险。”） </w:t>
      </w:r>
    </w:p>
    <w:p>
      <w:pPr>
        <w:pStyle w:val="30"/>
        <w:jc w:val="both"/>
        <w:rPr>
          <w:rFonts w:ascii="宋体" w:hAnsi="宋体"/>
          <w:color w:val="auto"/>
          <w:sz w:val="21"/>
          <w:szCs w:val="21"/>
        </w:rPr>
      </w:pPr>
      <w:r>
        <w:rPr>
          <w:rFonts w:hint="eastAsia" w:ascii="宋体" w:hAnsi="宋体"/>
          <w:color w:val="auto"/>
          <w:sz w:val="21"/>
          <w:szCs w:val="21"/>
        </w:rPr>
        <w:t>本人同时确认如下：____________________________________________________________________</w:t>
      </w:r>
    </w:p>
    <w:p>
      <w:pPr>
        <w:pStyle w:val="30"/>
        <w:jc w:val="both"/>
        <w:rPr>
          <w:rFonts w:ascii="宋体" w:hAnsi="宋体"/>
          <w:color w:val="auto"/>
          <w:sz w:val="21"/>
          <w:szCs w:val="21"/>
        </w:rPr>
      </w:pPr>
      <w:r>
        <w:rPr>
          <w:rFonts w:hint="eastAsia" w:ascii="宋体" w:hAnsi="宋体"/>
          <w:color w:val="auto"/>
          <w:sz w:val="21"/>
          <w:szCs w:val="21"/>
        </w:rPr>
        <w:t>______________________________________________________________________________________</w:t>
      </w:r>
    </w:p>
    <w:p>
      <w:pPr>
        <w:rPr>
          <w:rFonts w:ascii="宋体" w:hAnsi="宋体"/>
          <w:kern w:val="0"/>
        </w:rPr>
      </w:pPr>
    </w:p>
    <w:p>
      <w:pPr>
        <w:rPr>
          <w:rFonts w:ascii="宋体" w:hAnsi="宋体"/>
          <w:kern w:val="0"/>
        </w:rPr>
      </w:pPr>
      <w:r>
        <w:rPr>
          <w:rFonts w:hint="eastAsia" w:ascii="宋体" w:hAnsi="宋体"/>
        </w:rPr>
        <w:t>投资者</w:t>
      </w:r>
      <w:r>
        <w:rPr>
          <w:rFonts w:hint="eastAsia" w:ascii="宋体" w:hAnsi="宋体"/>
          <w:kern w:val="0"/>
        </w:rPr>
        <w:t xml:space="preserve">（签字）：                                             日期：  </w:t>
      </w:r>
      <w:r>
        <w:rPr>
          <w:rFonts w:hint="eastAsia" w:ascii="宋体" w:hAnsi="宋体"/>
        </w:rPr>
        <w:t>年  月  日</w:t>
      </w:r>
    </w:p>
    <w:p>
      <w:pPr>
        <w:snapToGrid w:val="0"/>
        <w:rPr>
          <w:rFonts w:ascii="宋体" w:hAnsi="宋体"/>
          <w:kern w:val="0"/>
          <w:u w:val="single"/>
        </w:rPr>
      </w:pPr>
    </w:p>
    <w:p>
      <w:pPr>
        <w:pStyle w:val="30"/>
        <w:jc w:val="center"/>
        <w:rPr>
          <w:rFonts w:ascii="宋体" w:hAnsi="宋体"/>
          <w:b/>
          <w:color w:val="auto"/>
          <w:sz w:val="21"/>
          <w:szCs w:val="21"/>
        </w:rPr>
      </w:pPr>
    </w:p>
    <w:p>
      <w:pPr>
        <w:pStyle w:val="30"/>
        <w:jc w:val="center"/>
        <w:rPr>
          <w:rFonts w:ascii="宋体" w:hAnsi="宋体"/>
          <w:b/>
          <w:color w:val="auto"/>
          <w:sz w:val="21"/>
          <w:szCs w:val="21"/>
        </w:rPr>
      </w:pPr>
    </w:p>
    <w:p>
      <w:pPr>
        <w:pStyle w:val="30"/>
        <w:jc w:val="center"/>
        <w:rPr>
          <w:rFonts w:ascii="宋体" w:hAnsi="宋体"/>
          <w:b/>
          <w:color w:val="auto"/>
          <w:sz w:val="21"/>
          <w:szCs w:val="21"/>
        </w:rPr>
      </w:pPr>
    </w:p>
    <w:p>
      <w:pPr>
        <w:pStyle w:val="30"/>
        <w:jc w:val="center"/>
        <w:rPr>
          <w:rFonts w:ascii="宋体" w:hAnsi="宋体"/>
          <w:b/>
          <w:color w:val="auto"/>
          <w:sz w:val="21"/>
          <w:szCs w:val="21"/>
        </w:rPr>
      </w:pPr>
    </w:p>
    <w:p>
      <w:pPr>
        <w:pStyle w:val="30"/>
        <w:jc w:val="center"/>
        <w:rPr>
          <w:rFonts w:ascii="宋体" w:hAnsi="宋体"/>
          <w:b/>
          <w:color w:val="auto"/>
          <w:sz w:val="21"/>
          <w:szCs w:val="21"/>
        </w:rPr>
      </w:pPr>
    </w:p>
    <w:p>
      <w:pPr>
        <w:pStyle w:val="30"/>
        <w:jc w:val="center"/>
        <w:rPr>
          <w:rFonts w:ascii="宋体" w:hAnsi="宋体"/>
          <w:b/>
          <w:color w:val="auto"/>
          <w:sz w:val="21"/>
          <w:szCs w:val="21"/>
        </w:rPr>
      </w:pPr>
      <w:r>
        <w:rPr>
          <w:rFonts w:hint="eastAsia" w:ascii="宋体" w:hAnsi="宋体"/>
          <w:b/>
          <w:color w:val="auto"/>
          <w:sz w:val="21"/>
          <w:szCs w:val="21"/>
        </w:rPr>
        <w:t>投资者确认栏（机构投资者填写）</w:t>
      </w:r>
    </w:p>
    <w:p>
      <w:pPr>
        <w:pStyle w:val="30"/>
        <w:jc w:val="both"/>
        <w:rPr>
          <w:rFonts w:ascii="宋体" w:hAnsi="宋体"/>
          <w:b/>
          <w:bCs/>
          <w:color w:val="auto"/>
          <w:sz w:val="21"/>
          <w:szCs w:val="21"/>
        </w:rPr>
      </w:pPr>
      <w:r>
        <w:rPr>
          <w:rFonts w:hint="eastAsia" w:ascii="宋体" w:hAnsi="宋体"/>
          <w:b/>
          <w:bCs/>
          <w:color w:val="auto"/>
          <w:sz w:val="21"/>
          <w:szCs w:val="21"/>
        </w:rPr>
        <w:t>声明：我单位已充分阅读《投资者权益须知》、《杭银理财幸福99半年添益理财计划产品说明书》</w:t>
      </w:r>
      <w:r>
        <w:rPr>
          <w:rFonts w:hint="eastAsia" w:ascii="宋体" w:hAnsi="宋体"/>
          <w:b/>
          <w:bCs/>
          <w:color w:val="auto"/>
          <w:sz w:val="21"/>
          <w:szCs w:val="21"/>
          <w:lang w:eastAsia="zh-CN"/>
        </w:rPr>
        <w:t>、《</w:t>
      </w:r>
      <w:r>
        <w:rPr>
          <w:rFonts w:hint="eastAsia" w:ascii="宋体" w:hAnsi="宋体"/>
          <w:b/>
          <w:bCs/>
          <w:color w:val="auto"/>
          <w:sz w:val="21"/>
          <w:szCs w:val="21"/>
        </w:rPr>
        <w:t>杭银理财理财计划投资协议书</w:t>
      </w:r>
      <w:r>
        <w:rPr>
          <w:rFonts w:hint="eastAsia" w:ascii="宋体" w:hAnsi="宋体"/>
          <w:b/>
          <w:bCs/>
          <w:color w:val="auto"/>
          <w:sz w:val="21"/>
          <w:szCs w:val="21"/>
          <w:lang w:eastAsia="zh-CN"/>
        </w:rPr>
        <w:t>》、《</w:t>
      </w:r>
      <w:r>
        <w:rPr>
          <w:rFonts w:hint="eastAsia" w:ascii="宋体" w:hAnsi="宋体"/>
          <w:b/>
          <w:bCs/>
          <w:color w:val="auto"/>
          <w:sz w:val="21"/>
          <w:szCs w:val="21"/>
        </w:rPr>
        <w:t>杭银理财理财计划销售协议书</w:t>
      </w:r>
      <w:r>
        <w:rPr>
          <w:rFonts w:hint="eastAsia" w:ascii="宋体" w:hAnsi="宋体"/>
          <w:b/>
          <w:bCs/>
          <w:color w:val="auto"/>
          <w:sz w:val="21"/>
          <w:szCs w:val="21"/>
          <w:lang w:eastAsia="zh-CN"/>
        </w:rPr>
        <w:t>》</w:t>
      </w:r>
      <w:r>
        <w:rPr>
          <w:rFonts w:hint="eastAsia" w:ascii="宋体" w:hAnsi="宋体"/>
          <w:b/>
          <w:bCs/>
          <w:color w:val="auto"/>
          <w:sz w:val="21"/>
          <w:szCs w:val="21"/>
        </w:rPr>
        <w:t>及本风险揭示书，并已对其作全面、准确的理解，充分认识到投资本理财产品要求承担的风险，并自愿承担此风险。</w:t>
      </w:r>
    </w:p>
    <w:p>
      <w:pPr>
        <w:widowControl/>
        <w:contextualSpacing/>
        <w:outlineLvl w:val="0"/>
        <w:rPr>
          <w:rFonts w:ascii="宋体" w:hAnsi="宋体"/>
        </w:rPr>
      </w:pPr>
    </w:p>
    <w:p>
      <w:pPr>
        <w:pStyle w:val="30"/>
        <w:jc w:val="both"/>
        <w:rPr>
          <w:rFonts w:ascii="宋体" w:hAnsi="宋体"/>
          <w:color w:val="auto"/>
          <w:sz w:val="21"/>
          <w:szCs w:val="21"/>
        </w:rPr>
      </w:pPr>
    </w:p>
    <w:p>
      <w:pPr>
        <w:pStyle w:val="30"/>
        <w:jc w:val="both"/>
        <w:rPr>
          <w:rFonts w:ascii="宋体" w:hAnsi="宋体"/>
          <w:color w:val="auto"/>
          <w:sz w:val="21"/>
          <w:szCs w:val="21"/>
        </w:rPr>
      </w:pPr>
      <w:r>
        <w:rPr>
          <w:rFonts w:hint="eastAsia" w:ascii="宋体" w:hAnsi="宋体"/>
          <w:color w:val="auto"/>
          <w:sz w:val="21"/>
          <w:szCs w:val="21"/>
        </w:rPr>
        <w:t>投资者（公章）                            法定代表人或授权代理人（签章）</w:t>
      </w:r>
    </w:p>
    <w:p>
      <w:pPr>
        <w:pStyle w:val="30"/>
        <w:jc w:val="both"/>
        <w:rPr>
          <w:rFonts w:ascii="宋体" w:hAnsi="宋体"/>
          <w:color w:val="auto"/>
          <w:sz w:val="21"/>
          <w:szCs w:val="21"/>
        </w:rPr>
      </w:pPr>
    </w:p>
    <w:p>
      <w:pPr>
        <w:pStyle w:val="30"/>
        <w:jc w:val="both"/>
        <w:rPr>
          <w:rFonts w:ascii="宋体" w:hAnsi="宋体"/>
          <w:color w:val="auto"/>
          <w:sz w:val="21"/>
          <w:szCs w:val="21"/>
        </w:rPr>
      </w:pPr>
    </w:p>
    <w:p>
      <w:pPr>
        <w:pStyle w:val="30"/>
        <w:ind w:firstLine="6405" w:firstLineChars="3050"/>
        <w:jc w:val="both"/>
        <w:rPr>
          <w:rFonts w:ascii="宋体" w:hAnsi="宋体"/>
          <w:color w:val="auto"/>
          <w:sz w:val="21"/>
          <w:szCs w:val="21"/>
        </w:rPr>
      </w:pPr>
      <w:r>
        <w:rPr>
          <w:rFonts w:hint="eastAsia" w:ascii="宋体" w:hAnsi="宋体"/>
          <w:color w:val="auto"/>
          <w:sz w:val="21"/>
          <w:szCs w:val="21"/>
        </w:rPr>
        <w:t>日期：  年  月  日</w:t>
      </w:r>
    </w:p>
    <w:p>
      <w:pPr>
        <w:pStyle w:val="30"/>
        <w:jc w:val="both"/>
        <w:rPr>
          <w:rFonts w:ascii="宋体" w:hAnsi="宋体"/>
          <w:color w:val="auto"/>
          <w:sz w:val="21"/>
          <w:szCs w:val="21"/>
        </w:rPr>
      </w:pPr>
    </w:p>
    <w:p>
      <w:pPr>
        <w:pStyle w:val="30"/>
        <w:jc w:val="both"/>
        <w:rPr>
          <w:rFonts w:ascii="宋体" w:hAnsi="宋体"/>
          <w:color w:val="auto"/>
          <w:sz w:val="21"/>
          <w:szCs w:val="21"/>
        </w:rPr>
      </w:pPr>
    </w:p>
    <w:p>
      <w:pPr>
        <w:pStyle w:val="30"/>
        <w:jc w:val="both"/>
        <w:rPr>
          <w:rFonts w:ascii="宋体" w:hAnsi="宋体"/>
          <w:color w:val="auto"/>
          <w:sz w:val="21"/>
          <w:szCs w:val="21"/>
        </w:rPr>
      </w:pPr>
    </w:p>
    <w:p>
      <w:pPr>
        <w:pStyle w:val="30"/>
        <w:jc w:val="both"/>
        <w:rPr>
          <w:rFonts w:ascii="宋体" w:hAnsi="宋体"/>
          <w:color w:val="auto"/>
          <w:sz w:val="21"/>
          <w:szCs w:val="21"/>
        </w:rPr>
      </w:pPr>
    </w:p>
    <w:p>
      <w:pPr>
        <w:rPr>
          <w:rFonts w:ascii="宋体" w:hAnsi="宋体" w:cs="宋体"/>
          <w:kern w:val="0"/>
        </w:rPr>
      </w:pPr>
    </w:p>
    <w:p>
      <w:pPr>
        <w:rPr>
          <w:rFonts w:ascii="宋体" w:hAnsi="宋体" w:cs="宋体"/>
          <w:kern w:val="0"/>
        </w:rPr>
      </w:pPr>
    </w:p>
    <w:p>
      <w:pPr>
        <w:spacing w:line="520" w:lineRule="exact"/>
        <w:jc w:val="center"/>
        <w:rPr>
          <w:rFonts w:cs="Times New Roman"/>
          <w:b/>
          <w:bCs/>
          <w:sz w:val="32"/>
          <w:szCs w:val="32"/>
        </w:rPr>
      </w:pPr>
      <w:r>
        <w:rPr>
          <w:rFonts w:hint="eastAsia" w:cs="宋体"/>
          <w:b/>
          <w:bCs/>
          <w:sz w:val="32"/>
          <w:szCs w:val="32"/>
        </w:rPr>
        <w:t>杭银理财幸福</w:t>
      </w:r>
      <w:r>
        <w:rPr>
          <w:b/>
          <w:bCs/>
          <w:sz w:val="32"/>
          <w:szCs w:val="32"/>
        </w:rPr>
        <w:t>99半年</w:t>
      </w:r>
      <w:r>
        <w:rPr>
          <w:rFonts w:hint="eastAsia" w:cs="宋体"/>
          <w:b/>
          <w:bCs/>
          <w:sz w:val="32"/>
          <w:szCs w:val="32"/>
        </w:rPr>
        <w:t>添益2010期理财计划产品说明书</w:t>
      </w:r>
    </w:p>
    <w:p>
      <w:pPr>
        <w:spacing w:line="520" w:lineRule="exact"/>
        <w:jc w:val="right"/>
      </w:pPr>
      <w:r>
        <w:rPr>
          <w:rFonts w:hint="eastAsia" w:ascii="宋体" w:hAnsi="Wingdings" w:cs="宋体"/>
          <w:color w:val="000000"/>
          <w:kern w:val="0"/>
        </w:rPr>
        <w:tab/>
      </w:r>
      <w:r>
        <w:rPr>
          <w:rFonts w:hint="eastAsia" w:ascii="宋体" w:hAnsi="Wingdings" w:cs="宋体"/>
          <w:color w:val="000000"/>
          <w:kern w:val="0"/>
        </w:rPr>
        <w:tab/>
      </w:r>
      <w:r>
        <w:rPr>
          <w:rFonts w:hint="eastAsia" w:ascii="宋体" w:hAnsi="Wingdings" w:cs="宋体"/>
          <w:color w:val="000000"/>
          <w:kern w:val="0"/>
        </w:rPr>
        <w:tab/>
      </w:r>
      <w:r>
        <w:rPr>
          <w:rFonts w:hint="eastAsia" w:ascii="宋体" w:hAnsi="Wingdings" w:cs="宋体"/>
          <w:color w:val="000000"/>
          <w:kern w:val="0"/>
        </w:rPr>
        <w:tab/>
      </w:r>
      <w:r>
        <w:rPr>
          <w:rFonts w:hint="eastAsia" w:ascii="宋体" w:hAnsi="Wingdings" w:cs="宋体"/>
          <w:color w:val="000000"/>
          <w:kern w:val="0"/>
        </w:rPr>
        <w:tab/>
      </w:r>
      <w:r>
        <w:rPr>
          <w:rFonts w:hint="eastAsia" w:ascii="宋体" w:hAnsi="Wingdings" w:cs="宋体"/>
          <w:color w:val="000000"/>
          <w:kern w:val="0"/>
        </w:rPr>
        <w:tab/>
      </w:r>
      <w:r>
        <w:rPr>
          <w:rFonts w:hint="eastAsia" w:ascii="宋体" w:hAnsi="Wingdings" w:cs="宋体"/>
          <w:color w:val="000000"/>
          <w:kern w:val="0"/>
        </w:rPr>
        <w:tab/>
      </w:r>
      <w:r>
        <w:rPr>
          <w:rFonts w:hint="eastAsia" w:ascii="宋体" w:hAnsi="Wingdings" w:cs="宋体"/>
          <w:color w:val="000000"/>
          <w:kern w:val="0"/>
        </w:rPr>
        <w:t xml:space="preserve"> 备案编号: </w:t>
      </w:r>
      <w:r>
        <w:rPr>
          <w:rFonts w:ascii="宋体" w:hAnsi="Wingdings" w:cs="宋体"/>
          <w:color w:val="000000"/>
          <w:kern w:val="0"/>
        </w:rPr>
        <w:t>Z7002221000175</w:t>
      </w:r>
    </w:p>
    <w:p>
      <w:pPr>
        <w:pStyle w:val="8"/>
        <w:numPr>
          <w:ilvl w:val="0"/>
          <w:numId w:val="1"/>
        </w:numPr>
        <w:spacing w:before="0" w:after="0" w:line="520" w:lineRule="exact"/>
        <w:jc w:val="both"/>
        <w:rPr>
          <w:sz w:val="28"/>
          <w:szCs w:val="28"/>
        </w:rPr>
      </w:pPr>
      <w:r>
        <w:rPr>
          <w:rFonts w:hint="eastAsia" w:cs="宋体"/>
          <w:sz w:val="28"/>
          <w:szCs w:val="28"/>
        </w:rPr>
        <w:t>重要须知</w:t>
      </w:r>
    </w:p>
    <w:p>
      <w:pPr>
        <w:pStyle w:val="30"/>
        <w:adjustRightInd/>
        <w:spacing w:line="520" w:lineRule="exact"/>
        <w:ind w:firstLine="420" w:firstLineChars="200"/>
        <w:rPr>
          <w:rFonts w:hint="eastAsia" w:ascii="宋体" w:cs="宋体"/>
          <w:sz w:val="21"/>
          <w:szCs w:val="21"/>
        </w:rPr>
      </w:pPr>
      <w:r>
        <w:rPr>
          <w:rFonts w:hint="eastAsia" w:ascii="宋体" w:cs="宋体"/>
          <w:sz w:val="21"/>
          <w:szCs w:val="21"/>
        </w:rPr>
        <w:t xml:space="preserve">1.  本产品不等同于银行存款和预期收益型理财产品。 </w:t>
      </w:r>
    </w:p>
    <w:p>
      <w:pPr>
        <w:pStyle w:val="30"/>
        <w:adjustRightInd/>
        <w:spacing w:line="520" w:lineRule="exact"/>
        <w:ind w:firstLine="420" w:firstLineChars="200"/>
        <w:rPr>
          <w:rFonts w:hint="eastAsia" w:ascii="宋体" w:cs="Times New Roman"/>
          <w:sz w:val="21"/>
          <w:szCs w:val="21"/>
        </w:rPr>
      </w:pPr>
      <w:r>
        <w:rPr>
          <w:rFonts w:hint="eastAsia" w:ascii="宋体" w:cs="宋体"/>
          <w:sz w:val="21"/>
          <w:szCs w:val="21"/>
        </w:rPr>
        <w:t>2.  本产品仅向依据中华人民共和国有关法律法规及本产品说明书规定可以购买本理财计划的投资者发售。</w:t>
      </w:r>
    </w:p>
    <w:p>
      <w:pPr>
        <w:pStyle w:val="30"/>
        <w:adjustRightInd/>
        <w:spacing w:line="520" w:lineRule="exact"/>
        <w:ind w:firstLine="420" w:firstLineChars="200"/>
        <w:rPr>
          <w:rFonts w:hint="eastAsia" w:ascii="宋体" w:cs="宋体"/>
          <w:sz w:val="21"/>
          <w:szCs w:val="21"/>
        </w:rPr>
      </w:pPr>
      <w:r>
        <w:rPr>
          <w:rFonts w:hint="eastAsia" w:ascii="宋体" w:cs="宋体"/>
          <w:sz w:val="21"/>
          <w:szCs w:val="21"/>
        </w:rPr>
        <w:t xml:space="preserve">3.  在购买本理财计划前，请投资者确保完全明白本理财计划的性质、其中涉及的风险以及投资者的自身情况。投资者若对本产品说明书的内容有任何疑问，请向管理人或销售机构咨询。 </w:t>
      </w:r>
    </w:p>
    <w:p>
      <w:pPr>
        <w:pStyle w:val="30"/>
        <w:adjustRightInd/>
        <w:spacing w:line="520" w:lineRule="exact"/>
        <w:ind w:firstLine="420" w:firstLineChars="200"/>
        <w:rPr>
          <w:rFonts w:hint="eastAsia" w:ascii="宋体" w:cs="Times New Roman"/>
          <w:sz w:val="21"/>
          <w:szCs w:val="21"/>
        </w:rPr>
      </w:pPr>
      <w:r>
        <w:rPr>
          <w:rFonts w:hint="eastAsia" w:ascii="宋体" w:cs="宋体"/>
          <w:bCs/>
          <w:sz w:val="21"/>
          <w:szCs w:val="21"/>
        </w:rPr>
        <w:t xml:space="preserve">4.  </w:t>
      </w:r>
      <w:r>
        <w:rPr>
          <w:rFonts w:hint="eastAsia" w:ascii="宋体" w:cs="宋体"/>
          <w:b/>
          <w:sz w:val="21"/>
          <w:szCs w:val="21"/>
        </w:rPr>
        <w:t>本产品是非保本净值型产品。管理人对本理财产品的本金和收益不提供保证承诺。</w:t>
      </w:r>
      <w:r>
        <w:rPr>
          <w:rFonts w:hint="eastAsia" w:ascii="宋体" w:cs="宋体"/>
          <w:sz w:val="21"/>
          <w:szCs w:val="21"/>
        </w:rPr>
        <w:t>您应充分认识投资风险，谨慎投资。本产品主要风险为理财本金及收益风险，</w:t>
      </w:r>
      <w:r>
        <w:rPr>
          <w:rFonts w:hint="eastAsia" w:ascii="宋体" w:cs="宋体"/>
          <w:b/>
          <w:sz w:val="21"/>
          <w:szCs w:val="21"/>
        </w:rPr>
        <w:t>在极端市场情况下，投资者将损失本金。</w:t>
      </w:r>
      <w:r>
        <w:rPr>
          <w:rFonts w:hint="eastAsia" w:ascii="宋体" w:cs="宋体"/>
          <w:sz w:val="21"/>
          <w:szCs w:val="21"/>
        </w:rPr>
        <w:t>请投资者基于自身的独立判断进行投资决策。</w:t>
      </w:r>
    </w:p>
    <w:p>
      <w:pPr>
        <w:pStyle w:val="30"/>
        <w:adjustRightInd/>
        <w:spacing w:line="520" w:lineRule="exact"/>
        <w:ind w:firstLine="420" w:firstLineChars="200"/>
        <w:rPr>
          <w:rFonts w:hint="eastAsia" w:ascii="宋体" w:cs="宋体"/>
          <w:sz w:val="21"/>
          <w:szCs w:val="21"/>
        </w:rPr>
      </w:pPr>
      <w:r>
        <w:rPr>
          <w:rFonts w:hint="eastAsia" w:ascii="宋体" w:cs="宋体"/>
          <w:sz w:val="21"/>
          <w:szCs w:val="21"/>
        </w:rPr>
        <w:t>5.  投资者签署理财合约认购本产品前，应当仔细阅读本说明书及其他相关销售文件的全部内容，同时向管理人或销售机构了解本产品的具体信息，确保自身完全了解该项投资的性质、投资所涉及的风险以及自身的风险承受能力，在慎重考虑后独立做出认购决定。本说明书及投资者签署的《</w:t>
      </w:r>
      <w:r>
        <w:rPr>
          <w:rFonts w:hint="eastAsia" w:ascii="宋体" w:cs="宋体"/>
          <w:sz w:val="21"/>
          <w:szCs w:val="21"/>
          <w:lang w:val="en-US" w:eastAsia="zh-CN"/>
        </w:rPr>
        <w:t>杭银理财</w:t>
      </w:r>
      <w:r>
        <w:rPr>
          <w:rFonts w:hint="eastAsia" w:ascii="宋体" w:cs="宋体"/>
          <w:sz w:val="21"/>
          <w:szCs w:val="21"/>
        </w:rPr>
        <w:t>理财</w:t>
      </w:r>
      <w:r>
        <w:rPr>
          <w:rFonts w:hint="eastAsia" w:ascii="宋体" w:cs="宋体"/>
          <w:sz w:val="21"/>
          <w:szCs w:val="21"/>
          <w:lang w:val="en-US" w:eastAsia="zh-CN"/>
        </w:rPr>
        <w:t>计划投资</w:t>
      </w:r>
      <w:r>
        <w:rPr>
          <w:rFonts w:hint="eastAsia" w:ascii="宋体" w:cs="宋体"/>
          <w:sz w:val="21"/>
          <w:szCs w:val="21"/>
        </w:rPr>
        <w:t>协议书》、</w:t>
      </w:r>
      <w:r>
        <w:rPr>
          <w:rFonts w:hint="eastAsia" w:ascii="宋体" w:cs="宋体"/>
          <w:sz w:val="21"/>
          <w:szCs w:val="21"/>
          <w:lang w:eastAsia="zh-CN"/>
        </w:rPr>
        <w:t>《</w:t>
      </w:r>
      <w:r>
        <w:rPr>
          <w:rFonts w:hint="eastAsia" w:ascii="宋体" w:cs="宋体"/>
          <w:sz w:val="21"/>
          <w:szCs w:val="21"/>
          <w:lang w:val="en-US" w:eastAsia="zh-CN"/>
        </w:rPr>
        <w:t>杭银理财理财计划销售协议书</w:t>
      </w:r>
      <w:r>
        <w:rPr>
          <w:rFonts w:hint="eastAsia" w:ascii="宋体" w:cs="宋体"/>
          <w:sz w:val="21"/>
          <w:szCs w:val="21"/>
          <w:lang w:eastAsia="zh-CN"/>
        </w:rPr>
        <w:t>》、</w:t>
      </w:r>
      <w:r>
        <w:rPr>
          <w:rFonts w:hint="eastAsia" w:ascii="宋体" w:cs="宋体"/>
          <w:sz w:val="21"/>
          <w:szCs w:val="21"/>
        </w:rPr>
        <w:t>《杭银理财幸福</w:t>
      </w:r>
      <w:r>
        <w:rPr>
          <w:rFonts w:ascii="宋体" w:cs="宋体"/>
          <w:sz w:val="21"/>
          <w:szCs w:val="21"/>
        </w:rPr>
        <w:t>99</w:t>
      </w:r>
      <w:r>
        <w:rPr>
          <w:rFonts w:hint="eastAsia" w:ascii="宋体" w:cs="宋体"/>
          <w:sz w:val="21"/>
          <w:szCs w:val="21"/>
        </w:rPr>
        <w:t>添益系列理财计划风险揭示书》、《投资者权益须知》，将共同构成投资者与管理人之间的理财计划交易合同。</w:t>
      </w:r>
    </w:p>
    <w:p>
      <w:pPr>
        <w:pStyle w:val="30"/>
        <w:adjustRightInd/>
        <w:spacing w:line="520" w:lineRule="exact"/>
        <w:ind w:firstLine="420" w:firstLineChars="200"/>
        <w:rPr>
          <w:rFonts w:hint="eastAsia" w:ascii="宋体" w:cs="宋体"/>
          <w:sz w:val="21"/>
          <w:szCs w:val="21"/>
        </w:rPr>
      </w:pPr>
      <w:r>
        <w:rPr>
          <w:rFonts w:hint="eastAsia" w:ascii="宋体" w:cs="宋体"/>
          <w:sz w:val="21"/>
          <w:szCs w:val="21"/>
        </w:rPr>
        <w:t>6.  投资者在认购本产品后，应随时关注本产品的信息披露情况，及时获取相关信息。如对本产品有任何疑问、异议或意见，请联系管理人或销售机构。</w:t>
      </w:r>
    </w:p>
    <w:p>
      <w:pPr>
        <w:pStyle w:val="30"/>
        <w:adjustRightInd/>
        <w:spacing w:line="520" w:lineRule="exact"/>
        <w:ind w:firstLine="420" w:firstLineChars="200"/>
        <w:rPr>
          <w:rFonts w:hint="eastAsia" w:ascii="宋体" w:cs="宋体"/>
          <w:sz w:val="21"/>
          <w:szCs w:val="21"/>
        </w:rPr>
      </w:pPr>
      <w:r>
        <w:rPr>
          <w:rFonts w:hint="eastAsia" w:ascii="宋体" w:cs="宋体"/>
          <w:sz w:val="21"/>
          <w:szCs w:val="21"/>
        </w:rPr>
        <w:t>7.  投资者承诺其用于认购理财计划的资金来源合法合规，不存在使用贷款、发行债券等筹集的非自有资金投资本理财产品的情形。</w:t>
      </w:r>
    </w:p>
    <w:p>
      <w:pPr>
        <w:spacing w:line="360" w:lineRule="auto"/>
        <w:ind w:firstLine="424" w:firstLineChars="202"/>
        <w:rPr>
          <w:rFonts w:ascii="宋体" w:cs="宋体"/>
        </w:rPr>
      </w:pPr>
      <w:r>
        <w:rPr>
          <w:rFonts w:hint="eastAsia" w:ascii="宋体" w:cs="宋体"/>
        </w:rPr>
        <w:t>8.</w:t>
      </w:r>
      <w:r>
        <w:rPr>
          <w:rFonts w:hint="eastAsia" w:ascii="宋体" w:hAnsi="Wingdings" w:cs="宋体"/>
          <w:color w:val="000000"/>
          <w:kern w:val="0"/>
        </w:rPr>
        <w:t xml:space="preserve"> 杭银理财及销售机构将依据相关法律、法规严格履行投资者信息保密责任，除监管机构或司法机关等有权机构外，不得对其他第三方商业机构提供任何投资者信息。</w:t>
      </w:r>
    </w:p>
    <w:p>
      <w:pPr>
        <w:pStyle w:val="30"/>
        <w:adjustRightInd/>
        <w:spacing w:line="520" w:lineRule="exact"/>
        <w:ind w:firstLine="420" w:firstLineChars="200"/>
        <w:rPr>
          <w:rFonts w:hint="eastAsia" w:ascii="宋体" w:cs="宋体"/>
          <w:sz w:val="21"/>
          <w:szCs w:val="21"/>
        </w:rPr>
      </w:pPr>
      <w:r>
        <w:rPr>
          <w:rFonts w:hint="eastAsia" w:ascii="宋体" w:cs="宋体"/>
          <w:sz w:val="21"/>
          <w:szCs w:val="21"/>
        </w:rPr>
        <w:t>9. 在本产品存续期内，如因监管政策或法律法规发生变化，在不损害投资者利益的前提下，管理人有权单方对本产品说明书条款进行修订。</w:t>
      </w:r>
    </w:p>
    <w:p>
      <w:pPr>
        <w:pStyle w:val="30"/>
        <w:adjustRightInd/>
        <w:spacing w:line="520" w:lineRule="exact"/>
        <w:ind w:firstLine="420" w:firstLineChars="200"/>
        <w:rPr>
          <w:rFonts w:hint="eastAsia" w:ascii="宋体" w:cs="宋体"/>
          <w:sz w:val="21"/>
          <w:szCs w:val="21"/>
        </w:rPr>
      </w:pPr>
      <w:r>
        <w:rPr>
          <w:rFonts w:hint="eastAsia" w:ascii="宋体" w:cs="宋体"/>
          <w:sz w:val="21"/>
          <w:szCs w:val="21"/>
        </w:rPr>
        <w:t>10. 管理人有权依法对本产品说明书进行解释。</w:t>
      </w:r>
    </w:p>
    <w:p>
      <w:pPr>
        <w:pStyle w:val="8"/>
        <w:numPr>
          <w:ilvl w:val="0"/>
          <w:numId w:val="1"/>
        </w:numPr>
        <w:spacing w:before="0" w:after="0" w:line="520" w:lineRule="exact"/>
        <w:jc w:val="both"/>
        <w:rPr>
          <w:sz w:val="28"/>
          <w:szCs w:val="28"/>
        </w:rPr>
      </w:pPr>
      <w:r>
        <w:rPr>
          <w:rFonts w:hint="eastAsia" w:cs="宋体"/>
          <w:sz w:val="28"/>
          <w:szCs w:val="28"/>
        </w:rPr>
        <w:t>释义</w:t>
      </w:r>
    </w:p>
    <w:p>
      <w:pPr>
        <w:pStyle w:val="30"/>
        <w:adjustRightInd/>
        <w:spacing w:line="520" w:lineRule="exact"/>
        <w:ind w:firstLine="420" w:firstLineChars="200"/>
        <w:rPr>
          <w:rFonts w:ascii="宋体" w:hAnsi="宋体" w:cs="Times New Roman"/>
          <w:sz w:val="21"/>
          <w:szCs w:val="21"/>
        </w:rPr>
      </w:pPr>
      <w:r>
        <w:rPr>
          <w:rFonts w:hint="eastAsia" w:ascii="宋体" w:hAnsi="宋体" w:cs="宋体"/>
          <w:sz w:val="21"/>
          <w:szCs w:val="21"/>
        </w:rPr>
        <w:t>本说明书中，除非另有明确说明，否则下列词语或简称具有如下含义：</w:t>
      </w:r>
    </w:p>
    <w:p>
      <w:pPr>
        <w:pStyle w:val="30"/>
        <w:adjustRightInd/>
        <w:spacing w:line="520" w:lineRule="exact"/>
        <w:ind w:firstLine="420" w:firstLineChars="200"/>
        <w:rPr>
          <w:rFonts w:ascii="宋体" w:hAnsi="宋体" w:cs="Times New Roman"/>
          <w:sz w:val="21"/>
          <w:szCs w:val="21"/>
        </w:rPr>
      </w:pPr>
      <w:r>
        <w:rPr>
          <w:rFonts w:hint="eastAsia" w:ascii="宋体" w:hAnsi="宋体" w:cs="宋体"/>
          <w:sz w:val="21"/>
          <w:szCs w:val="21"/>
        </w:rPr>
        <w:t>产品/理财计划：指</w:t>
      </w:r>
      <w:bookmarkStart w:id="0" w:name="OLE_LINK3"/>
      <w:r>
        <w:rPr>
          <w:rFonts w:hint="eastAsia" w:ascii="宋体" w:hAnsi="宋体" w:cs="宋体"/>
          <w:sz w:val="21"/>
          <w:szCs w:val="21"/>
        </w:rPr>
        <w:t>杭银理财幸福99半年添益2010期理财计划</w:t>
      </w:r>
      <w:bookmarkEnd w:id="0"/>
      <w:r>
        <w:rPr>
          <w:rFonts w:hint="eastAsia" w:ascii="宋体" w:hAnsi="宋体" w:cs="宋体"/>
          <w:sz w:val="21"/>
          <w:szCs w:val="21"/>
        </w:rPr>
        <w:t>。</w:t>
      </w:r>
    </w:p>
    <w:p>
      <w:pPr>
        <w:pStyle w:val="30"/>
        <w:adjustRightInd/>
        <w:spacing w:line="520" w:lineRule="exact"/>
        <w:ind w:firstLine="420" w:firstLineChars="200"/>
        <w:rPr>
          <w:rFonts w:ascii="宋体" w:hAnsi="宋体" w:cs="宋体"/>
          <w:sz w:val="21"/>
          <w:szCs w:val="21"/>
        </w:rPr>
      </w:pPr>
      <w:r>
        <w:rPr>
          <w:rFonts w:hint="eastAsia" w:ascii="宋体" w:hAnsi="宋体" w:cs="宋体"/>
          <w:sz w:val="21"/>
          <w:szCs w:val="21"/>
        </w:rPr>
        <w:t>产品管理人：指杭银理财有限责任公司。杭银理财有限责任公司是杭州银行全资子公司</w:t>
      </w:r>
      <w:r>
        <w:rPr>
          <w:rFonts w:ascii="宋体" w:hAnsi="宋体" w:cs="宋体"/>
          <w:sz w:val="21"/>
          <w:szCs w:val="21"/>
        </w:rPr>
        <w:t>，注册地在杭州。杭银理财有限责任公司</w:t>
      </w:r>
      <w:r>
        <w:rPr>
          <w:rFonts w:hint="eastAsia" w:ascii="宋体" w:hAnsi="宋体" w:cs="宋体"/>
          <w:sz w:val="21"/>
          <w:szCs w:val="21"/>
        </w:rPr>
        <w:t>前身是杭州银行总行资产管理部,</w:t>
      </w:r>
      <w:r>
        <w:rPr>
          <w:rFonts w:ascii="宋体" w:hAnsi="宋体" w:cs="宋体"/>
          <w:sz w:val="21"/>
          <w:szCs w:val="21"/>
        </w:rPr>
        <w:t>主要从事面向不特定社会公众公开发行理财产品、面向合格投资者非公开发行理财产品、理财顾问和咨询服务等相关业务。</w:t>
      </w:r>
    </w:p>
    <w:p>
      <w:pPr>
        <w:pStyle w:val="30"/>
        <w:adjustRightInd/>
        <w:spacing w:line="520" w:lineRule="exact"/>
        <w:ind w:firstLine="420" w:firstLineChars="200"/>
        <w:rPr>
          <w:rFonts w:hint="eastAsia" w:ascii="宋体" w:hAnsi="宋体" w:cs="宋体"/>
          <w:sz w:val="21"/>
          <w:szCs w:val="21"/>
        </w:rPr>
      </w:pPr>
      <w:r>
        <w:rPr>
          <w:rFonts w:hint="eastAsia" w:ascii="宋体" w:hAnsi="宋体" w:cs="宋体"/>
          <w:sz w:val="21"/>
          <w:szCs w:val="21"/>
        </w:rPr>
        <w:t>销售机构：包含但不限于杭州银行股份有限公司等其他银行业金融机构或者国务院银行业监督管理机构认可的其他机构。杭州银行股份有限公司简称杭州银行，官方网站</w:t>
      </w:r>
      <w:r>
        <w:fldChar w:fldCharType="begin"/>
      </w:r>
      <w:r>
        <w:instrText xml:space="preserve"> HYPERLINK "http://www.hzbank.com.cn，客服热线为" </w:instrText>
      </w:r>
      <w:r>
        <w:fldChar w:fldCharType="separate"/>
      </w:r>
      <w:r>
        <w:rPr>
          <w:rStyle w:val="16"/>
          <w:rFonts w:hint="eastAsia" w:ascii="宋体" w:hAnsi="宋体"/>
          <w:sz w:val="21"/>
          <w:szCs w:val="21"/>
        </w:rPr>
        <w:t>www.hzbank.com.cn</w:t>
      </w:r>
      <w:r>
        <w:rPr>
          <w:rFonts w:hint="eastAsia" w:ascii="宋体" w:hAnsi="宋体"/>
          <w:sz w:val="21"/>
          <w:szCs w:val="21"/>
        </w:rPr>
        <w:t>，客服热线为</w:t>
      </w:r>
      <w:r>
        <w:rPr>
          <w:rFonts w:hint="eastAsia" w:ascii="宋体" w:hAnsi="宋体"/>
          <w:sz w:val="21"/>
          <w:szCs w:val="21"/>
        </w:rPr>
        <w:fldChar w:fldCharType="end"/>
      </w:r>
      <w:r>
        <w:rPr>
          <w:rFonts w:hint="eastAsia" w:ascii="宋体" w:hAnsi="宋体" w:cs="宋体"/>
          <w:sz w:val="21"/>
          <w:szCs w:val="21"/>
        </w:rPr>
        <w:t>95398。</w:t>
      </w:r>
    </w:p>
    <w:tbl>
      <w:tblPr>
        <w:tblStyle w:val="13"/>
        <w:tblW w:w="925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41"/>
        <w:gridCol w:w="2937"/>
        <w:gridCol w:w="1370"/>
        <w:gridCol w:w="38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41" w:type="dxa"/>
            <w:vMerge w:val="restart"/>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s="宋体"/>
                <w:bCs/>
              </w:rPr>
            </w:pPr>
            <w:r>
              <w:rPr>
                <w:rFonts w:hint="eastAsia" w:ascii="宋体" w:hAnsi="宋体" w:cs="宋体"/>
                <w:bCs/>
              </w:rPr>
              <w:t>销售机构信息</w:t>
            </w:r>
          </w:p>
        </w:tc>
        <w:tc>
          <w:tcPr>
            <w:tcW w:w="2937" w:type="dxa"/>
            <w:vMerge w:val="restart"/>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s="宋体"/>
                <w:bCs/>
              </w:rPr>
            </w:pPr>
            <w:r>
              <w:rPr>
                <w:rFonts w:hint="eastAsia" w:ascii="宋体" w:hAnsi="宋体" w:cs="宋体"/>
                <w:bCs/>
              </w:rPr>
              <w:t>杭州银行股份有限公司</w:t>
            </w:r>
          </w:p>
        </w:tc>
        <w:tc>
          <w:tcPr>
            <w:tcW w:w="137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s="宋体"/>
                <w:bCs/>
              </w:rPr>
            </w:pPr>
            <w:r>
              <w:rPr>
                <w:rFonts w:hint="eastAsia" w:ascii="宋体" w:hAnsi="宋体" w:cs="宋体"/>
                <w:bCs/>
              </w:rPr>
              <w:t>住所</w:t>
            </w:r>
          </w:p>
        </w:tc>
        <w:tc>
          <w:tcPr>
            <w:tcW w:w="3808"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宋体" w:hAnsi="宋体" w:cs="宋体"/>
                <w:bCs/>
              </w:rPr>
            </w:pPr>
            <w:r>
              <w:rPr>
                <w:rFonts w:hint="eastAsia" w:ascii="宋体" w:hAnsi="宋体" w:cs="宋体"/>
                <w:bCs/>
              </w:rPr>
              <w:t>杭州市庆春路46号杭州银行大厦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41" w:type="dxa"/>
            <w:vMerge w:val="continue"/>
            <w:tcBorders>
              <w:top w:val="single" w:color="auto" w:sz="4" w:space="0"/>
              <w:left w:val="single" w:color="auto" w:sz="4" w:space="0"/>
              <w:bottom w:val="single" w:color="auto" w:sz="4" w:space="0"/>
              <w:right w:val="single" w:color="auto" w:sz="4" w:space="0"/>
            </w:tcBorders>
            <w:noWrap w:val="0"/>
            <w:vAlign w:val="center"/>
          </w:tcPr>
          <w:p>
            <w:pPr>
              <w:rPr>
                <w:rFonts w:cs="Times New Roman"/>
                <w:szCs w:val="22"/>
              </w:rPr>
            </w:pPr>
          </w:p>
        </w:tc>
        <w:tc>
          <w:tcPr>
            <w:tcW w:w="2937" w:type="dxa"/>
            <w:vMerge w:val="continue"/>
            <w:tcBorders>
              <w:top w:val="single" w:color="auto" w:sz="4" w:space="0"/>
              <w:left w:val="single" w:color="auto" w:sz="4" w:space="0"/>
              <w:bottom w:val="single" w:color="auto" w:sz="4" w:space="0"/>
              <w:right w:val="single" w:color="auto" w:sz="4" w:space="0"/>
            </w:tcBorders>
            <w:noWrap w:val="0"/>
            <w:vAlign w:val="center"/>
          </w:tcPr>
          <w:p>
            <w:pPr>
              <w:rPr>
                <w:rFonts w:cs="Times New Roman"/>
                <w:szCs w:val="22"/>
              </w:rPr>
            </w:pPr>
          </w:p>
        </w:tc>
        <w:tc>
          <w:tcPr>
            <w:tcW w:w="137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s="宋体"/>
                <w:bCs/>
              </w:rPr>
            </w:pPr>
            <w:r>
              <w:rPr>
                <w:rFonts w:hint="eastAsia" w:ascii="宋体" w:hAnsi="宋体" w:cs="宋体"/>
                <w:bCs/>
              </w:rPr>
              <w:t>客服热线</w:t>
            </w:r>
          </w:p>
        </w:tc>
        <w:tc>
          <w:tcPr>
            <w:tcW w:w="3808"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s="宋体"/>
                <w:bCs/>
              </w:rPr>
            </w:pPr>
            <w:r>
              <w:rPr>
                <w:rFonts w:hint="eastAsia" w:ascii="宋体" w:hAnsi="宋体" w:cs="宋体"/>
                <w:bCs/>
              </w:rPr>
              <w:t>95398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41"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s="宋体"/>
                <w:bCs/>
              </w:rPr>
            </w:pPr>
            <w:r>
              <w:rPr>
                <w:rFonts w:hint="eastAsia" w:ascii="宋体" w:hAnsi="宋体" w:cs="宋体"/>
                <w:bCs/>
              </w:rPr>
              <w:t>销售机构职责</w:t>
            </w:r>
          </w:p>
        </w:tc>
        <w:tc>
          <w:tcPr>
            <w:tcW w:w="8115" w:type="dxa"/>
            <w:gridSpan w:val="3"/>
            <w:tcBorders>
              <w:top w:val="single" w:color="auto" w:sz="4" w:space="0"/>
              <w:left w:val="single" w:color="auto" w:sz="4" w:space="0"/>
              <w:bottom w:val="single" w:color="auto" w:sz="4" w:space="0"/>
              <w:right w:val="single" w:color="auto" w:sz="4" w:space="0"/>
            </w:tcBorders>
            <w:noWrap w:val="0"/>
            <w:vAlign w:val="top"/>
          </w:tcPr>
          <w:p>
            <w:pPr>
              <w:spacing w:line="360" w:lineRule="auto"/>
              <w:jc w:val="left"/>
              <w:rPr>
                <w:rFonts w:ascii="宋体" w:hAnsi="宋体" w:cs="宋体"/>
                <w:bCs/>
              </w:rPr>
            </w:pPr>
            <w:r>
              <w:rPr>
                <w:rFonts w:hint="eastAsia" w:ascii="宋体" w:hAnsi="宋体" w:cs="宋体"/>
                <w:bCs/>
              </w:rPr>
              <w:t>主要负责理财计划推广、投资者风险承受能力评估、投资者适当性管理、理财计划份额认购、申购及赎回办理。</w:t>
            </w:r>
          </w:p>
          <w:p>
            <w:pPr>
              <w:spacing w:line="360" w:lineRule="auto"/>
              <w:jc w:val="left"/>
              <w:rPr>
                <w:rFonts w:ascii="宋体" w:hAnsi="宋体" w:cs="宋体"/>
                <w:bCs/>
              </w:rPr>
            </w:pPr>
            <w:r>
              <w:rPr>
                <w:rFonts w:hint="eastAsia" w:ascii="宋体" w:hAnsi="宋体" w:cs="宋体"/>
                <w:bCs/>
              </w:rPr>
              <w:t>协助管理人负责与投资者签订理财计划合同、与投资者沟通及进行信息披露、接受投资者咨询和客户维护等销售服务。</w:t>
            </w:r>
          </w:p>
        </w:tc>
      </w:tr>
    </w:tbl>
    <w:p>
      <w:pPr>
        <w:pStyle w:val="30"/>
        <w:adjustRightInd/>
        <w:spacing w:line="520" w:lineRule="exact"/>
        <w:ind w:firstLine="420" w:firstLineChars="200"/>
        <w:rPr>
          <w:rFonts w:hint="eastAsia" w:ascii="宋体" w:hAnsi="宋体" w:cs="宋体"/>
          <w:sz w:val="21"/>
          <w:szCs w:val="21"/>
        </w:rPr>
      </w:pPr>
      <w:r>
        <w:rPr>
          <w:rFonts w:hint="eastAsia" w:ascii="宋体" w:hAnsi="宋体" w:cs="宋体"/>
          <w:sz w:val="21"/>
          <w:szCs w:val="21"/>
        </w:rPr>
        <w:t>产品托管人：指杭州银行股份有限公司。</w:t>
      </w:r>
    </w:p>
    <w:tbl>
      <w:tblPr>
        <w:tblStyle w:val="13"/>
        <w:tblW w:w="925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39"/>
        <w:gridCol w:w="71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8" w:hRule="atLeast"/>
          <w:jc w:val="center"/>
        </w:trPr>
        <w:tc>
          <w:tcPr>
            <w:tcW w:w="2139"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s="宋体"/>
                <w:bCs/>
              </w:rPr>
            </w:pPr>
            <w:r>
              <w:rPr>
                <w:rFonts w:hint="eastAsia" w:ascii="宋体" w:hAnsi="宋体" w:cs="宋体"/>
                <w:bCs/>
              </w:rPr>
              <w:t>托管人名称</w:t>
            </w:r>
          </w:p>
        </w:tc>
        <w:tc>
          <w:tcPr>
            <w:tcW w:w="7117" w:type="dxa"/>
            <w:tcBorders>
              <w:top w:val="single" w:color="auto" w:sz="4" w:space="0"/>
              <w:left w:val="single" w:color="auto" w:sz="4" w:space="0"/>
              <w:bottom w:val="single" w:color="auto" w:sz="4" w:space="0"/>
              <w:right w:val="single" w:color="auto" w:sz="4" w:space="0"/>
            </w:tcBorders>
            <w:noWrap w:val="0"/>
            <w:vAlign w:val="top"/>
          </w:tcPr>
          <w:p>
            <w:pPr>
              <w:spacing w:line="360" w:lineRule="auto"/>
              <w:jc w:val="left"/>
              <w:rPr>
                <w:rFonts w:ascii="宋体" w:hAnsi="宋体" w:cs="宋体"/>
                <w:bCs/>
              </w:rPr>
            </w:pPr>
            <w:r>
              <w:rPr>
                <w:rFonts w:hint="eastAsia" w:ascii="宋体" w:hAnsi="宋体" w:cs="宋体"/>
                <w:bCs/>
              </w:rPr>
              <w:t>杭州银行股份有限公司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jc w:val="center"/>
        </w:trPr>
        <w:tc>
          <w:tcPr>
            <w:tcW w:w="2139"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s="宋体"/>
                <w:bCs/>
              </w:rPr>
            </w:pPr>
            <w:r>
              <w:rPr>
                <w:rFonts w:hint="eastAsia" w:ascii="宋体" w:hAnsi="宋体" w:cs="宋体"/>
                <w:bCs/>
              </w:rPr>
              <w:t>托管人住所</w:t>
            </w:r>
          </w:p>
        </w:tc>
        <w:tc>
          <w:tcPr>
            <w:tcW w:w="7117" w:type="dxa"/>
            <w:tcBorders>
              <w:top w:val="single" w:color="auto" w:sz="4" w:space="0"/>
              <w:left w:val="single" w:color="auto" w:sz="4" w:space="0"/>
              <w:bottom w:val="single" w:color="auto" w:sz="4" w:space="0"/>
              <w:right w:val="single" w:color="auto" w:sz="4" w:space="0"/>
            </w:tcBorders>
            <w:noWrap w:val="0"/>
            <w:vAlign w:val="top"/>
          </w:tcPr>
          <w:p>
            <w:pPr>
              <w:spacing w:line="360" w:lineRule="auto"/>
              <w:jc w:val="left"/>
              <w:rPr>
                <w:rFonts w:ascii="宋体" w:hAnsi="宋体" w:cs="宋体"/>
                <w:bCs/>
              </w:rPr>
            </w:pPr>
            <w:r>
              <w:rPr>
                <w:rFonts w:hint="eastAsia" w:ascii="宋体" w:hAnsi="宋体" w:cs="宋体"/>
                <w:bCs/>
              </w:rPr>
              <w:t>杭州市庆春路46号杭州银行大厦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2139"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s="宋体"/>
                <w:bCs/>
              </w:rPr>
            </w:pPr>
            <w:r>
              <w:rPr>
                <w:rFonts w:hint="eastAsia" w:ascii="宋体" w:hAnsi="宋体" w:cs="宋体"/>
                <w:bCs/>
              </w:rPr>
              <w:t>托管人职责</w:t>
            </w:r>
          </w:p>
        </w:tc>
        <w:tc>
          <w:tcPr>
            <w:tcW w:w="7117" w:type="dxa"/>
            <w:tcBorders>
              <w:top w:val="single" w:color="auto" w:sz="4" w:space="0"/>
              <w:left w:val="single" w:color="auto" w:sz="4" w:space="0"/>
              <w:bottom w:val="single" w:color="auto" w:sz="4" w:space="0"/>
              <w:right w:val="single" w:color="auto" w:sz="4" w:space="0"/>
            </w:tcBorders>
            <w:noWrap w:val="0"/>
            <w:vAlign w:val="top"/>
          </w:tcPr>
          <w:p>
            <w:pPr>
              <w:spacing w:line="360" w:lineRule="auto"/>
              <w:jc w:val="left"/>
              <w:rPr>
                <w:rFonts w:ascii="宋体" w:hAnsi="宋体" w:cs="宋体"/>
                <w:bCs/>
              </w:rPr>
            </w:pPr>
            <w:r>
              <w:rPr>
                <w:rFonts w:hint="eastAsia" w:ascii="宋体" w:hAnsi="宋体" w:cs="宋体"/>
                <w:bCs/>
              </w:rPr>
              <w:t>主要提供包括账户开立、资金保管、资金结算、估值核对等理财产品托管服务。</w:t>
            </w:r>
          </w:p>
        </w:tc>
      </w:tr>
    </w:tbl>
    <w:p>
      <w:pPr>
        <w:pStyle w:val="30"/>
        <w:adjustRightInd/>
        <w:spacing w:line="520" w:lineRule="exact"/>
        <w:ind w:firstLine="420" w:firstLineChars="200"/>
        <w:rPr>
          <w:rFonts w:hint="eastAsia" w:ascii="宋体" w:cs="Times New Roman"/>
          <w:sz w:val="21"/>
          <w:szCs w:val="21"/>
        </w:rPr>
      </w:pPr>
      <w:r>
        <w:rPr>
          <w:rFonts w:hint="eastAsia" w:ascii="宋体" w:cs="宋体"/>
          <w:sz w:val="21"/>
          <w:szCs w:val="21"/>
        </w:rPr>
        <w:t>理财产品认购期：是指管理人接受投资者认购本理财产品的起止期限。</w:t>
      </w:r>
    </w:p>
    <w:p>
      <w:pPr>
        <w:pStyle w:val="30"/>
        <w:adjustRightInd/>
        <w:spacing w:line="520" w:lineRule="exact"/>
        <w:ind w:firstLine="420" w:firstLineChars="200"/>
        <w:rPr>
          <w:rFonts w:hint="eastAsia" w:ascii="宋体" w:cs="宋体"/>
          <w:sz w:val="21"/>
          <w:szCs w:val="21"/>
        </w:rPr>
      </w:pPr>
      <w:r>
        <w:rPr>
          <w:rFonts w:hint="eastAsia" w:ascii="宋体" w:cs="宋体"/>
          <w:sz w:val="21"/>
          <w:szCs w:val="21"/>
        </w:rPr>
        <w:t>确认日：本理财产品确认日指本产品每次开放期结束后的第一个工作日。</w:t>
      </w:r>
    </w:p>
    <w:p>
      <w:pPr>
        <w:pStyle w:val="30"/>
        <w:adjustRightInd/>
        <w:spacing w:line="520" w:lineRule="exact"/>
        <w:ind w:firstLine="420" w:firstLineChars="200"/>
        <w:rPr>
          <w:rFonts w:hint="eastAsia" w:ascii="宋体" w:cs="Times New Roman"/>
          <w:sz w:val="21"/>
          <w:szCs w:val="21"/>
        </w:rPr>
      </w:pPr>
      <w:r>
        <w:rPr>
          <w:rFonts w:hint="eastAsia" w:ascii="宋体" w:cs="宋体"/>
          <w:sz w:val="21"/>
          <w:szCs w:val="21"/>
        </w:rPr>
        <w:t>工作日：除双休日和国家法定假日外的法定工作日。</w:t>
      </w:r>
    </w:p>
    <w:p>
      <w:pPr>
        <w:pStyle w:val="30"/>
        <w:adjustRightInd/>
        <w:spacing w:line="520" w:lineRule="exact"/>
        <w:ind w:firstLine="420" w:firstLineChars="200"/>
        <w:rPr>
          <w:rFonts w:hint="eastAsia" w:ascii="宋体" w:cs="宋体"/>
          <w:sz w:val="21"/>
          <w:szCs w:val="21"/>
        </w:rPr>
      </w:pPr>
      <w:r>
        <w:rPr>
          <w:rFonts w:hint="eastAsia" w:ascii="宋体" w:cs="宋体"/>
          <w:sz w:val="21"/>
          <w:szCs w:val="21"/>
        </w:rPr>
        <w:t>投资周期：本理财产品第一个投资周期是指产品成立日（含）至第一个产品确认日（不含）之间的时间，其后每个投资周期是指确认日（含）至下一个确认日（不含）之间的时间。</w:t>
      </w:r>
    </w:p>
    <w:p>
      <w:pPr>
        <w:pStyle w:val="8"/>
        <w:numPr>
          <w:ilvl w:val="0"/>
          <w:numId w:val="1"/>
        </w:numPr>
        <w:spacing w:before="0" w:after="0" w:line="520" w:lineRule="exact"/>
        <w:jc w:val="both"/>
        <w:rPr>
          <w:sz w:val="28"/>
          <w:szCs w:val="28"/>
        </w:rPr>
      </w:pPr>
      <w:r>
        <w:rPr>
          <w:rFonts w:hint="eastAsia" w:cs="宋体"/>
          <w:sz w:val="28"/>
          <w:szCs w:val="28"/>
        </w:rPr>
        <w:t>产品风险等级：</w:t>
      </w:r>
      <w:r>
        <w:rPr>
          <w:sz w:val="28"/>
          <w:szCs w:val="28"/>
        </w:rPr>
        <w:t>R2</w:t>
      </w:r>
    </w:p>
    <w:p>
      <w:pPr>
        <w:pStyle w:val="30"/>
        <w:spacing w:line="360" w:lineRule="auto"/>
        <w:rPr>
          <w:rFonts w:ascii="宋体" w:eastAsia="Times New Roman" w:cs="Times New Roman"/>
          <w:sz w:val="22"/>
          <w:szCs w:val="22"/>
        </w:rPr>
      </w:pPr>
      <w:r>
        <w:drawing>
          <wp:inline distT="0" distB="0" distL="0" distR="0">
            <wp:extent cx="5280660" cy="265176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5"/>
                    <a:stretch>
                      <a:fillRect/>
                    </a:stretch>
                  </pic:blipFill>
                  <pic:spPr>
                    <a:xfrm>
                      <a:off x="0" y="0"/>
                      <a:ext cx="5281118" cy="2651990"/>
                    </a:xfrm>
                    <a:prstGeom prst="rect">
                      <a:avLst/>
                    </a:prstGeom>
                  </pic:spPr>
                </pic:pic>
              </a:graphicData>
            </a:graphic>
          </wp:inline>
        </w:drawing>
      </w:r>
    </w:p>
    <w:p>
      <w:pPr>
        <w:pStyle w:val="30"/>
        <w:adjustRightInd/>
        <w:spacing w:line="520" w:lineRule="exact"/>
        <w:ind w:firstLine="420" w:firstLineChars="200"/>
        <w:rPr>
          <w:rFonts w:hint="eastAsia" w:ascii="宋体" w:cs="宋体"/>
          <w:b/>
          <w:sz w:val="21"/>
          <w:szCs w:val="21"/>
        </w:rPr>
      </w:pPr>
      <w:r>
        <w:rPr>
          <w:rFonts w:hint="eastAsia" w:ascii="宋体" w:cs="宋体"/>
          <w:sz w:val="21"/>
          <w:szCs w:val="21"/>
        </w:rPr>
        <w:t>产品风险评级由管理人根据产品投资对象、实际的风险控制情况、投资运作情况等合理确定。根据管理人内部风险评级标准，本产品的风险等级为</w:t>
      </w:r>
      <w:r>
        <w:rPr>
          <w:rFonts w:hint="eastAsia" w:ascii="宋体" w:cs="宋体"/>
          <w:b/>
          <w:bCs/>
          <w:sz w:val="21"/>
          <w:szCs w:val="21"/>
        </w:rPr>
        <w:t>R2</w:t>
      </w:r>
      <w:r>
        <w:rPr>
          <w:rFonts w:hint="eastAsia" w:ascii="宋体" w:cs="宋体"/>
          <w:sz w:val="21"/>
          <w:szCs w:val="21"/>
        </w:rPr>
        <w:t>，中低风险。</w:t>
      </w:r>
      <w:r>
        <w:rPr>
          <w:rFonts w:hint="eastAsia" w:ascii="宋体" w:cs="宋体"/>
          <w:b/>
          <w:sz w:val="21"/>
          <w:szCs w:val="21"/>
        </w:rPr>
        <w:t>该评级仅是管理人内部测评结果，仅供投资者参考，不具有任何法律约束力。</w:t>
      </w:r>
    </w:p>
    <w:p>
      <w:pPr>
        <w:pStyle w:val="8"/>
        <w:numPr>
          <w:ilvl w:val="0"/>
          <w:numId w:val="1"/>
        </w:numPr>
        <w:spacing w:before="0" w:after="0" w:line="520" w:lineRule="exact"/>
        <w:jc w:val="both"/>
        <w:rPr>
          <w:rFonts w:cs="宋体"/>
          <w:sz w:val="28"/>
          <w:szCs w:val="28"/>
        </w:rPr>
      </w:pPr>
      <w:r>
        <w:rPr>
          <w:rFonts w:hint="eastAsia" w:cs="宋体"/>
          <w:sz w:val="28"/>
          <w:szCs w:val="28"/>
        </w:rPr>
        <w:t>产品概述</w:t>
      </w:r>
    </w:p>
    <w:tbl>
      <w:tblPr>
        <w:tblStyle w:val="13"/>
        <w:tblW w:w="891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513"/>
        <w:gridCol w:w="74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9" w:hRule="atLeast"/>
          <w:jc w:val="center"/>
        </w:trPr>
        <w:tc>
          <w:tcPr>
            <w:tcW w:w="1513"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rPr>
                <w:rFonts w:ascii="宋体" w:hAnsi="宋体" w:cs="宋体"/>
                <w:color w:val="000000"/>
                <w:kern w:val="0"/>
              </w:rPr>
            </w:pPr>
            <w:r>
              <w:rPr>
                <w:rFonts w:hint="eastAsia" w:ascii="宋体" w:hAnsi="宋体" w:cs="宋体"/>
                <w:color w:val="000000"/>
                <w:kern w:val="0"/>
              </w:rPr>
              <w:t>产品名称</w:t>
            </w:r>
          </w:p>
        </w:tc>
        <w:tc>
          <w:tcPr>
            <w:tcW w:w="7404"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rPr>
                <w:rFonts w:ascii="宋体" w:hAnsi="宋体" w:cs="宋体"/>
                <w:color w:val="000000"/>
                <w:kern w:val="0"/>
              </w:rPr>
            </w:pPr>
            <w:r>
              <w:rPr>
                <w:rFonts w:hint="eastAsia" w:ascii="宋体" w:hAnsi="宋体" w:cs="宋体"/>
                <w:color w:val="000000"/>
                <w:kern w:val="0"/>
              </w:rPr>
              <w:t>杭银理财幸福</w:t>
            </w:r>
            <w:r>
              <w:rPr>
                <w:rFonts w:ascii="宋体" w:hAnsi="宋体" w:cs="宋体"/>
                <w:color w:val="000000"/>
                <w:kern w:val="0"/>
              </w:rPr>
              <w:t>99</w:t>
            </w:r>
            <w:r>
              <w:rPr>
                <w:rFonts w:hint="eastAsia" w:ascii="宋体" w:hAnsi="宋体" w:cs="宋体"/>
                <w:color w:val="000000"/>
                <w:kern w:val="0"/>
              </w:rPr>
              <w:t>半年添益2010期理财计划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9" w:hRule="atLeast"/>
          <w:jc w:val="center"/>
        </w:trPr>
        <w:tc>
          <w:tcPr>
            <w:tcW w:w="1513"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rPr>
                <w:rFonts w:ascii="宋体" w:hAnsi="宋体" w:cs="宋体"/>
                <w:color w:val="000000"/>
                <w:kern w:val="0"/>
              </w:rPr>
            </w:pPr>
            <w:r>
              <w:rPr>
                <w:rFonts w:hint="eastAsia" w:ascii="宋体" w:hAnsi="宋体" w:cs="宋体"/>
                <w:color w:val="000000"/>
                <w:kern w:val="0"/>
              </w:rPr>
              <w:t>产品编号</w:t>
            </w:r>
          </w:p>
        </w:tc>
        <w:tc>
          <w:tcPr>
            <w:tcW w:w="7404"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rPr>
                <w:rFonts w:ascii="宋体" w:hAnsi="宋体" w:cs="宋体"/>
                <w:color w:val="000000"/>
                <w:kern w:val="0"/>
              </w:rPr>
            </w:pPr>
            <w:r>
              <w:rPr>
                <w:rFonts w:hint="eastAsia" w:ascii="宋体" w:hAnsi="宋体" w:cs="宋体"/>
                <w:color w:val="000000"/>
                <w:kern w:val="0"/>
              </w:rPr>
              <w:t>TY</w:t>
            </w:r>
            <w:r>
              <w:rPr>
                <w:rFonts w:ascii="宋体" w:hAnsi="宋体" w:cs="宋体"/>
                <w:color w:val="000000"/>
                <w:kern w:val="0"/>
              </w:rPr>
              <w:t>G</w:t>
            </w:r>
            <w:r>
              <w:rPr>
                <w:rFonts w:hint="eastAsia" w:ascii="宋体" w:hAnsi="宋体" w:cs="宋体"/>
                <w:color w:val="000000"/>
                <w:kern w:val="0"/>
              </w:rPr>
              <w:t>6M2010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9" w:hRule="atLeast"/>
          <w:jc w:val="center"/>
        </w:trPr>
        <w:tc>
          <w:tcPr>
            <w:tcW w:w="1513"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rPr>
                <w:rFonts w:ascii="宋体" w:hAnsi="宋体" w:cs="宋体"/>
                <w:color w:val="000000"/>
                <w:kern w:val="0"/>
              </w:rPr>
            </w:pPr>
            <w:r>
              <w:rPr>
                <w:rFonts w:hint="eastAsia" w:ascii="宋体" w:hAnsi="宋体" w:cs="宋体"/>
                <w:color w:val="000000"/>
                <w:kern w:val="0"/>
              </w:rPr>
              <w:t>产品登记编码</w:t>
            </w:r>
          </w:p>
        </w:tc>
        <w:tc>
          <w:tcPr>
            <w:tcW w:w="7404"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rPr>
                <w:rFonts w:ascii="宋体" w:hAnsi="宋体" w:cs="宋体"/>
                <w:color w:val="000000"/>
                <w:kern w:val="0"/>
              </w:rPr>
            </w:pPr>
            <w:r>
              <w:rPr>
                <w:rFonts w:hint="eastAsia" w:ascii="宋体" w:hAnsi="宋体" w:cs="宋体"/>
                <w:color w:val="000000"/>
                <w:kern w:val="0"/>
              </w:rPr>
              <w:t>该产品在全国银行业理财信息登记系统的原登记编码是</w:t>
            </w:r>
            <w:r>
              <w:rPr>
                <w:rFonts w:ascii="宋体" w:hAnsi="宋体" w:cs="宋体"/>
                <w:color w:val="000000"/>
                <w:kern w:val="0"/>
              </w:rPr>
              <w:t>C10920</w:t>
            </w:r>
            <w:r>
              <w:rPr>
                <w:rFonts w:hint="eastAsia" w:ascii="宋体" w:hAnsi="宋体" w:cs="宋体"/>
                <w:color w:val="000000"/>
                <w:kern w:val="0"/>
              </w:rPr>
              <w:t>20000363，</w:t>
            </w:r>
            <w:r>
              <w:rPr>
                <w:rFonts w:hint="eastAsia" w:ascii="宋体" w:hAnsi="宋体" w:cs="宋体"/>
              </w:rPr>
              <w:t>变更登记后为〖</w:t>
            </w:r>
            <w:r>
              <w:rPr>
                <w:rFonts w:ascii="宋体" w:hAnsi="宋体" w:cs="宋体"/>
              </w:rPr>
              <w:t>Z7002221000175</w:t>
            </w:r>
            <w:r>
              <w:rPr>
                <w:rFonts w:hint="eastAsia" w:ascii="宋体" w:hAnsi="宋体" w:cs="宋体"/>
              </w:rPr>
              <w:t>〗。</w:t>
            </w:r>
            <w:r>
              <w:rPr>
                <w:rFonts w:hint="eastAsia" w:ascii="宋体" w:hAnsi="宋体" w:cs="宋体"/>
                <w:color w:val="000000"/>
                <w:kern w:val="0"/>
              </w:rPr>
              <w:t>投资者可依据该编码在“中国理财网（</w:t>
            </w:r>
            <w:r>
              <w:rPr>
                <w:rFonts w:ascii="宋体" w:hAnsi="宋体" w:cs="宋体"/>
                <w:color w:val="000000"/>
                <w:kern w:val="0"/>
              </w:rPr>
              <w:t>www.chinawealth.com.cn</w:t>
            </w:r>
            <w:r>
              <w:rPr>
                <w:rFonts w:hint="eastAsia" w:ascii="宋体" w:hAnsi="宋体" w:cs="宋体"/>
                <w:color w:val="000000"/>
                <w:kern w:val="0"/>
              </w:rPr>
              <w:t>）”查询该产品信息。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9" w:hRule="atLeast"/>
          <w:jc w:val="center"/>
        </w:trPr>
        <w:tc>
          <w:tcPr>
            <w:tcW w:w="1513"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rPr>
                <w:rFonts w:ascii="宋体" w:hAnsi="宋体" w:cs="宋体"/>
                <w:color w:val="000000"/>
                <w:kern w:val="0"/>
              </w:rPr>
            </w:pPr>
            <w:r>
              <w:rPr>
                <w:rFonts w:hint="eastAsia" w:ascii="宋体" w:hAnsi="宋体" w:cs="宋体"/>
                <w:color w:val="000000"/>
                <w:kern w:val="0"/>
              </w:rPr>
              <w:t>发行对象</w:t>
            </w:r>
          </w:p>
        </w:tc>
        <w:tc>
          <w:tcPr>
            <w:tcW w:w="7404"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rPr>
                <w:rFonts w:ascii="宋体" w:hAnsi="宋体" w:cs="宋体"/>
                <w:color w:val="000000"/>
                <w:kern w:val="0"/>
              </w:rPr>
            </w:pPr>
            <w:r>
              <w:rPr>
                <w:rFonts w:hint="eastAsia" w:ascii="宋体" w:hAnsi="宋体" w:cs="宋体"/>
                <w:color w:val="000000"/>
                <w:kern w:val="0"/>
              </w:rPr>
              <w:t>本理财产品适合机构投资者及稳健型、平衡型、成长型、进取型的个人投资者。(法律、法规和有关规定禁止购买者除外)。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9" w:hRule="atLeast"/>
          <w:jc w:val="center"/>
        </w:trPr>
        <w:tc>
          <w:tcPr>
            <w:tcW w:w="1513"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rPr>
                <w:rFonts w:ascii="宋体" w:hAnsi="宋体" w:cs="宋体"/>
                <w:color w:val="000000"/>
                <w:kern w:val="0"/>
              </w:rPr>
            </w:pPr>
            <w:r>
              <w:rPr>
                <w:rFonts w:hint="eastAsia" w:ascii="宋体" w:hAnsi="宋体" w:cs="宋体"/>
                <w:color w:val="000000"/>
                <w:kern w:val="0"/>
              </w:rPr>
              <w:t>销售范围</w:t>
            </w:r>
          </w:p>
        </w:tc>
        <w:tc>
          <w:tcPr>
            <w:tcW w:w="7404"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rPr>
                <w:rFonts w:ascii="宋体" w:hAnsi="宋体" w:cs="宋体"/>
                <w:color w:val="000000"/>
                <w:kern w:val="0"/>
              </w:rPr>
            </w:pPr>
            <w:r>
              <w:rPr>
                <w:rFonts w:hint="eastAsia" w:ascii="宋体" w:hAnsi="宋体" w:cs="宋体"/>
                <w:color w:val="000000"/>
                <w:kern w:val="0"/>
              </w:rPr>
              <w:t>全国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9" w:hRule="atLeast"/>
          <w:jc w:val="center"/>
        </w:trPr>
        <w:tc>
          <w:tcPr>
            <w:tcW w:w="1513"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rPr>
                <w:rFonts w:ascii="宋体" w:hAnsi="宋体" w:cs="宋体"/>
                <w:color w:val="000000"/>
                <w:kern w:val="0"/>
              </w:rPr>
            </w:pPr>
            <w:r>
              <w:rPr>
                <w:rFonts w:hint="eastAsia" w:ascii="宋体" w:hAnsi="宋体" w:cs="宋体"/>
                <w:color w:val="000000"/>
                <w:kern w:val="0"/>
              </w:rPr>
              <w:t>销售渠道</w:t>
            </w:r>
          </w:p>
        </w:tc>
        <w:tc>
          <w:tcPr>
            <w:tcW w:w="7404"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rPr>
                <w:rFonts w:ascii="宋体" w:hAnsi="宋体" w:cs="宋体"/>
                <w:color w:val="000000"/>
                <w:kern w:val="0"/>
              </w:rPr>
            </w:pPr>
            <w:r>
              <w:rPr>
                <w:rFonts w:hint="eastAsia" w:ascii="宋体" w:hAnsi="宋体" w:cs="宋体"/>
                <w:color w:val="000000"/>
                <w:kern w:val="0"/>
              </w:rPr>
              <w:t>可通过销售机构的营业网点、网上银行、手机银行、直销银行等渠道购买。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9" w:hRule="atLeast"/>
          <w:jc w:val="center"/>
        </w:trPr>
        <w:tc>
          <w:tcPr>
            <w:tcW w:w="1513"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rPr>
                <w:rFonts w:ascii="宋体" w:hAnsi="宋体" w:cs="宋体"/>
                <w:color w:val="000000"/>
                <w:kern w:val="0"/>
              </w:rPr>
            </w:pPr>
            <w:r>
              <w:rPr>
                <w:rFonts w:hint="eastAsia" w:ascii="宋体" w:hAnsi="宋体" w:cs="宋体"/>
                <w:color w:val="000000"/>
                <w:kern w:val="0"/>
              </w:rPr>
              <w:t>交易币种</w:t>
            </w:r>
          </w:p>
        </w:tc>
        <w:tc>
          <w:tcPr>
            <w:tcW w:w="7404"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rPr>
                <w:rFonts w:ascii="宋体" w:hAnsi="宋体" w:cs="宋体"/>
                <w:color w:val="000000"/>
                <w:kern w:val="0"/>
              </w:rPr>
            </w:pPr>
            <w:r>
              <w:rPr>
                <w:rFonts w:hint="eastAsia" w:ascii="宋体" w:hAnsi="宋体" w:cs="宋体"/>
                <w:color w:val="000000"/>
                <w:kern w:val="0"/>
              </w:rPr>
              <w:t>人民币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9" w:hRule="atLeast"/>
          <w:jc w:val="center"/>
        </w:trPr>
        <w:tc>
          <w:tcPr>
            <w:tcW w:w="1513"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rPr>
                <w:rFonts w:ascii="宋体" w:hAnsi="宋体" w:cs="宋体"/>
                <w:color w:val="000000"/>
                <w:kern w:val="0"/>
              </w:rPr>
            </w:pPr>
            <w:r>
              <w:rPr>
                <w:rFonts w:hint="eastAsia" w:ascii="宋体" w:hAnsi="宋体" w:cs="宋体"/>
                <w:color w:val="000000"/>
                <w:kern w:val="0"/>
              </w:rPr>
              <w:t>产品类型</w:t>
            </w:r>
          </w:p>
        </w:tc>
        <w:tc>
          <w:tcPr>
            <w:tcW w:w="7404"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rPr>
                <w:rFonts w:ascii="宋体" w:hAnsi="宋体" w:cs="宋体"/>
                <w:color w:val="000000"/>
                <w:kern w:val="0"/>
              </w:rPr>
            </w:pPr>
            <w:r>
              <w:rPr>
                <w:rFonts w:hint="eastAsia" w:ascii="宋体" w:hAnsi="宋体" w:cs="宋体"/>
                <w:color w:val="000000"/>
                <w:kern w:val="0"/>
              </w:rPr>
              <w:t>定期开放式净值型理财产品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9" w:hRule="atLeast"/>
          <w:jc w:val="center"/>
        </w:trPr>
        <w:tc>
          <w:tcPr>
            <w:tcW w:w="1513"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rPr>
                <w:rFonts w:ascii="宋体" w:hAnsi="宋体" w:cs="宋体"/>
                <w:color w:val="000000"/>
                <w:kern w:val="0"/>
              </w:rPr>
            </w:pPr>
            <w:r>
              <w:rPr>
                <w:rFonts w:hint="eastAsia" w:ascii="宋体" w:hAnsi="宋体" w:cs="宋体"/>
                <w:color w:val="000000"/>
                <w:kern w:val="0"/>
              </w:rPr>
              <w:t>募集方式</w:t>
            </w:r>
          </w:p>
        </w:tc>
        <w:tc>
          <w:tcPr>
            <w:tcW w:w="7404"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rPr>
                <w:rFonts w:ascii="宋体" w:hAnsi="宋体" w:cs="宋体"/>
                <w:color w:val="000000"/>
                <w:kern w:val="0"/>
              </w:rPr>
            </w:pPr>
            <w:r>
              <w:rPr>
                <w:rFonts w:hint="eastAsia" w:ascii="宋体" w:hAnsi="宋体" w:cs="宋体"/>
                <w:color w:val="000000"/>
                <w:kern w:val="0"/>
              </w:rPr>
              <w:t>公募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9" w:hRule="atLeast"/>
          <w:jc w:val="center"/>
        </w:trPr>
        <w:tc>
          <w:tcPr>
            <w:tcW w:w="1513"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rPr>
                <w:rFonts w:ascii="宋体" w:hAnsi="宋体" w:cs="宋体"/>
                <w:color w:val="000000"/>
                <w:kern w:val="0"/>
              </w:rPr>
            </w:pPr>
            <w:r>
              <w:rPr>
                <w:rFonts w:hint="eastAsia" w:ascii="宋体" w:hAnsi="宋体" w:cs="宋体"/>
                <w:color w:val="000000"/>
                <w:kern w:val="0"/>
              </w:rPr>
              <w:t>投资性质</w:t>
            </w:r>
          </w:p>
        </w:tc>
        <w:tc>
          <w:tcPr>
            <w:tcW w:w="7404"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rPr>
                <w:rFonts w:ascii="宋体" w:hAnsi="宋体" w:cs="宋体"/>
                <w:color w:val="000000"/>
                <w:kern w:val="0"/>
              </w:rPr>
            </w:pPr>
            <w:r>
              <w:rPr>
                <w:rFonts w:hint="eastAsia" w:ascii="宋体" w:hAnsi="宋体" w:cs="宋体"/>
                <w:color w:val="000000"/>
                <w:kern w:val="0"/>
              </w:rPr>
              <w:t>固定收益类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9" w:hRule="atLeast"/>
          <w:jc w:val="center"/>
        </w:trPr>
        <w:tc>
          <w:tcPr>
            <w:tcW w:w="1513"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rPr>
                <w:rFonts w:ascii="宋体" w:hAnsi="宋体" w:cs="宋体"/>
                <w:color w:val="000000"/>
                <w:kern w:val="0"/>
              </w:rPr>
            </w:pPr>
            <w:r>
              <w:rPr>
                <w:rFonts w:hint="eastAsia" w:ascii="宋体" w:hAnsi="宋体" w:cs="宋体"/>
                <w:color w:val="000000"/>
                <w:kern w:val="0"/>
              </w:rPr>
              <w:t>产品规模</w:t>
            </w:r>
          </w:p>
        </w:tc>
        <w:tc>
          <w:tcPr>
            <w:tcW w:w="7404"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rPr>
                <w:rFonts w:ascii="宋体" w:hAnsi="宋体" w:cs="宋体"/>
                <w:color w:val="000000"/>
                <w:kern w:val="0"/>
              </w:rPr>
            </w:pPr>
            <w:r>
              <w:rPr>
                <w:rFonts w:hint="eastAsia" w:ascii="宋体" w:hAnsi="宋体" w:cs="宋体"/>
                <w:color w:val="000000"/>
                <w:kern w:val="0"/>
              </w:rPr>
              <w:t>规模下限为0.2亿元，产品规模上限在每个开放期进行调整，首次认购期规模上限为10亿元。若认购金额未达规模下限则管理人有权决定产品不成立，若认购</w:t>
            </w:r>
            <w:r>
              <w:rPr>
                <w:rFonts w:ascii="宋体" w:hAnsi="宋体" w:cs="宋体"/>
                <w:color w:val="000000"/>
                <w:kern w:val="0"/>
              </w:rPr>
              <w:t>/</w:t>
            </w:r>
            <w:r>
              <w:rPr>
                <w:rFonts w:hint="eastAsia" w:ascii="宋体" w:hAnsi="宋体" w:cs="宋体"/>
                <w:color w:val="000000"/>
                <w:kern w:val="0"/>
              </w:rPr>
              <w:t>申购金额超出规模上限，则管理人有权暂停接受认购或申购申请。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9" w:hRule="atLeast"/>
          <w:jc w:val="center"/>
        </w:trPr>
        <w:tc>
          <w:tcPr>
            <w:tcW w:w="1513"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rPr>
                <w:rFonts w:ascii="宋体" w:hAnsi="宋体" w:cs="宋体"/>
                <w:color w:val="000000"/>
                <w:kern w:val="0"/>
              </w:rPr>
            </w:pPr>
            <w:r>
              <w:rPr>
                <w:rFonts w:hint="eastAsia" w:ascii="宋体" w:hAnsi="宋体" w:cs="宋体"/>
                <w:color w:val="000000"/>
                <w:kern w:val="0"/>
              </w:rPr>
              <w:t>产品认购期</w:t>
            </w:r>
          </w:p>
        </w:tc>
        <w:tc>
          <w:tcPr>
            <w:tcW w:w="7404"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rPr>
                <w:rFonts w:ascii="宋体" w:hAnsi="宋体" w:cs="宋体"/>
                <w:color w:val="000000"/>
                <w:kern w:val="0"/>
              </w:rPr>
            </w:pPr>
            <w:r>
              <w:rPr>
                <w:rFonts w:hint="eastAsia" w:ascii="宋体" w:hAnsi="宋体" w:cs="宋体"/>
                <w:color w:val="000000"/>
                <w:kern w:val="0"/>
              </w:rPr>
              <w:t>2020年3月25日至2020年3月31日。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9" w:hRule="atLeast"/>
          <w:jc w:val="center"/>
        </w:trPr>
        <w:tc>
          <w:tcPr>
            <w:tcW w:w="1513"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rPr>
                <w:rFonts w:ascii="宋体" w:hAnsi="宋体" w:cs="宋体"/>
                <w:color w:val="000000"/>
                <w:kern w:val="0"/>
              </w:rPr>
            </w:pPr>
            <w:r>
              <w:rPr>
                <w:rFonts w:hint="eastAsia" w:ascii="宋体" w:hAnsi="宋体" w:cs="宋体"/>
                <w:color w:val="000000"/>
                <w:kern w:val="0"/>
              </w:rPr>
              <w:t>起点认购</w:t>
            </w:r>
            <w:r>
              <w:rPr>
                <w:rFonts w:ascii="宋体" w:hAnsi="宋体" w:cs="宋体"/>
                <w:color w:val="000000"/>
                <w:kern w:val="0"/>
              </w:rPr>
              <w:t>/</w:t>
            </w:r>
            <w:r>
              <w:rPr>
                <w:rFonts w:hint="eastAsia" w:ascii="宋体" w:hAnsi="宋体" w:cs="宋体"/>
                <w:color w:val="000000"/>
                <w:kern w:val="0"/>
              </w:rPr>
              <w:t>申购金额</w:t>
            </w:r>
          </w:p>
        </w:tc>
        <w:tc>
          <w:tcPr>
            <w:tcW w:w="7404"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rPr>
                <w:rFonts w:ascii="宋体" w:hAnsi="宋体" w:cs="宋体"/>
                <w:color w:val="000000"/>
                <w:kern w:val="0"/>
              </w:rPr>
            </w:pPr>
            <w:r>
              <w:rPr>
                <w:rFonts w:hint="eastAsia" w:ascii="宋体" w:hAnsi="宋体" w:cs="宋体"/>
                <w:color w:val="000000"/>
                <w:kern w:val="0"/>
              </w:rPr>
              <w:t>首次认购</w:t>
            </w:r>
            <w:r>
              <w:rPr>
                <w:rFonts w:ascii="宋体" w:hAnsi="宋体" w:cs="宋体"/>
                <w:color w:val="000000"/>
                <w:kern w:val="0"/>
              </w:rPr>
              <w:t>/</w:t>
            </w:r>
            <w:r>
              <w:rPr>
                <w:rFonts w:hint="eastAsia" w:ascii="宋体" w:hAnsi="宋体" w:cs="宋体"/>
                <w:color w:val="000000"/>
                <w:kern w:val="0"/>
              </w:rPr>
              <w:t>申购起点金额1元整，超过起点部分，应为1元的整数倍。</w:t>
            </w:r>
          </w:p>
          <w:p>
            <w:pPr>
              <w:rPr>
                <w:rFonts w:ascii="宋体" w:hAnsi="宋体" w:cs="宋体"/>
                <w:color w:val="000000"/>
                <w:kern w:val="0"/>
              </w:rPr>
            </w:pPr>
            <w:r>
              <w:rPr>
                <w:rFonts w:hint="eastAsia" w:ascii="宋体" w:hAnsi="宋体" w:cs="宋体"/>
                <w:color w:val="000000"/>
                <w:kern w:val="0"/>
              </w:rPr>
              <w:t>投资者全额赎回不再持有本产品份额后再次申购，视同首次申购处理。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9" w:hRule="atLeast"/>
          <w:jc w:val="center"/>
        </w:trPr>
        <w:tc>
          <w:tcPr>
            <w:tcW w:w="1513"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rPr>
                <w:rFonts w:ascii="宋体" w:hAnsi="宋体" w:cs="宋体"/>
                <w:color w:val="000000"/>
                <w:kern w:val="0"/>
              </w:rPr>
            </w:pPr>
            <w:r>
              <w:rPr>
                <w:rFonts w:hint="eastAsia" w:ascii="宋体" w:hAnsi="宋体" w:cs="宋体"/>
                <w:color w:val="000000"/>
                <w:kern w:val="0"/>
              </w:rPr>
              <w:t>产品成立日</w:t>
            </w:r>
          </w:p>
        </w:tc>
        <w:tc>
          <w:tcPr>
            <w:tcW w:w="7404"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rPr>
                <w:rFonts w:ascii="宋体" w:hAnsi="宋体" w:cs="宋体"/>
                <w:color w:val="000000"/>
                <w:kern w:val="0"/>
              </w:rPr>
            </w:pPr>
            <w:r>
              <w:rPr>
                <w:rFonts w:hint="eastAsia" w:ascii="宋体" w:hAnsi="宋体" w:cs="宋体"/>
                <w:color w:val="000000"/>
                <w:kern w:val="0"/>
              </w:rPr>
              <w:t>2020年4月1日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9" w:hRule="atLeast"/>
          <w:jc w:val="center"/>
        </w:trPr>
        <w:tc>
          <w:tcPr>
            <w:tcW w:w="1513"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rPr>
                <w:rFonts w:ascii="宋体" w:hAnsi="宋体" w:cs="宋体"/>
                <w:color w:val="000000"/>
                <w:kern w:val="0"/>
              </w:rPr>
            </w:pPr>
            <w:r>
              <w:rPr>
                <w:rFonts w:hint="eastAsia" w:ascii="宋体" w:hAnsi="宋体" w:cs="宋体"/>
                <w:color w:val="000000"/>
                <w:kern w:val="0"/>
              </w:rPr>
              <w:t>理财期限</w:t>
            </w:r>
          </w:p>
        </w:tc>
        <w:tc>
          <w:tcPr>
            <w:tcW w:w="7404"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rPr>
                <w:rFonts w:ascii="宋体" w:hAnsi="宋体" w:cs="宋体"/>
                <w:color w:val="000000"/>
                <w:kern w:val="0"/>
              </w:rPr>
            </w:pPr>
            <w:r>
              <w:rPr>
                <w:rFonts w:hint="eastAsia" w:ascii="宋体" w:hAnsi="宋体" w:cs="宋体"/>
                <w:color w:val="000000"/>
                <w:kern w:val="0"/>
              </w:rPr>
              <w:t>无固定期限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9" w:hRule="atLeast"/>
          <w:jc w:val="center"/>
        </w:trPr>
        <w:tc>
          <w:tcPr>
            <w:tcW w:w="1513"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rPr>
                <w:rFonts w:ascii="宋体" w:hAnsi="宋体" w:cs="宋体"/>
                <w:color w:val="000000"/>
                <w:kern w:val="0"/>
              </w:rPr>
            </w:pPr>
            <w:r>
              <w:rPr>
                <w:rFonts w:hint="eastAsia" w:ascii="宋体" w:hAnsi="宋体" w:cs="宋体"/>
                <w:color w:val="000000"/>
                <w:kern w:val="0"/>
              </w:rPr>
              <w:t>产品开放期</w:t>
            </w:r>
          </w:p>
        </w:tc>
        <w:tc>
          <w:tcPr>
            <w:tcW w:w="7404"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rPr>
                <w:rFonts w:ascii="宋体" w:hAnsi="宋体" w:cs="宋体"/>
                <w:color w:val="000000"/>
                <w:kern w:val="0"/>
              </w:rPr>
            </w:pPr>
            <w:r>
              <w:rPr>
                <w:rFonts w:hint="eastAsia" w:ascii="宋体" w:hAnsi="宋体" w:cs="宋体"/>
                <w:color w:val="000000"/>
                <w:kern w:val="0"/>
              </w:rPr>
              <w:t>产品每半年开放一次。开放期为产品确认日前5-7个工作日，具体开放时间以公告为准，开放期公告将通过管理人或者销售机构网站发布。</w:t>
            </w:r>
          </w:p>
          <w:p>
            <w:pPr>
              <w:rPr>
                <w:rFonts w:ascii="宋体" w:hAnsi="宋体" w:cs="宋体"/>
                <w:color w:val="000000"/>
                <w:kern w:val="0"/>
              </w:rPr>
            </w:pPr>
            <w:r>
              <w:rPr>
                <w:rFonts w:hint="eastAsia" w:ascii="宋体" w:hAnsi="宋体" w:cs="宋体"/>
                <w:color w:val="000000"/>
                <w:kern w:val="0"/>
              </w:rPr>
              <w:t>首次开放期为2020年9月23日至2020年9月29日，首个确认日为2020年9月30日。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9" w:hRule="atLeast"/>
          <w:jc w:val="center"/>
        </w:trPr>
        <w:tc>
          <w:tcPr>
            <w:tcW w:w="1513"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rPr>
                <w:rFonts w:ascii="宋体" w:hAnsi="宋体" w:cs="宋体"/>
                <w:color w:val="000000"/>
                <w:kern w:val="0"/>
              </w:rPr>
            </w:pPr>
            <w:r>
              <w:rPr>
                <w:rFonts w:hint="eastAsia" w:ascii="宋体" w:hAnsi="宋体" w:cs="宋体"/>
                <w:color w:val="000000"/>
                <w:kern w:val="0"/>
              </w:rPr>
              <w:t>交易规则</w:t>
            </w:r>
          </w:p>
        </w:tc>
        <w:tc>
          <w:tcPr>
            <w:tcW w:w="7404"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rPr>
                <w:rFonts w:ascii="宋体" w:hAnsi="宋体" w:cs="宋体"/>
                <w:color w:val="000000"/>
                <w:kern w:val="0"/>
              </w:rPr>
            </w:pPr>
            <w:r>
              <w:rPr>
                <w:rFonts w:hint="eastAsia" w:ascii="宋体" w:hAnsi="宋体" w:cs="宋体"/>
                <w:color w:val="000000"/>
                <w:kern w:val="0"/>
              </w:rPr>
              <w:t>1.认购期内的工作时间可以提出认购申请。</w:t>
            </w:r>
          </w:p>
          <w:p>
            <w:pPr>
              <w:rPr>
                <w:rFonts w:ascii="宋体" w:hAnsi="宋体" w:cs="宋体"/>
                <w:color w:val="000000"/>
                <w:kern w:val="0"/>
              </w:rPr>
            </w:pPr>
            <w:r>
              <w:rPr>
                <w:rFonts w:hint="eastAsia" w:ascii="宋体" w:hAnsi="宋体" w:cs="宋体"/>
                <w:color w:val="000000"/>
                <w:kern w:val="0"/>
              </w:rPr>
              <w:t>2.本产品在每个开放期的工作时间都可以进行申购和赎回，申购和赎回申请将在本次开放期后的第一个确认日确认。</w:t>
            </w:r>
          </w:p>
          <w:p>
            <w:pPr>
              <w:rPr>
                <w:rFonts w:ascii="宋体" w:hAnsi="宋体" w:cs="宋体"/>
                <w:color w:val="000000"/>
                <w:kern w:val="0"/>
              </w:rPr>
            </w:pPr>
            <w:r>
              <w:rPr>
                <w:rFonts w:hint="eastAsia" w:ascii="宋体" w:hAnsi="宋体" w:cs="宋体"/>
                <w:color w:val="000000"/>
                <w:kern w:val="0"/>
              </w:rPr>
              <w:t>3.认购</w:t>
            </w:r>
            <w:r>
              <w:rPr>
                <w:rFonts w:ascii="宋体" w:hAnsi="宋体" w:cs="宋体"/>
                <w:color w:val="000000"/>
                <w:kern w:val="0"/>
              </w:rPr>
              <w:t>/</w:t>
            </w:r>
            <w:r>
              <w:rPr>
                <w:rFonts w:hint="eastAsia" w:ascii="宋体" w:hAnsi="宋体" w:cs="宋体"/>
                <w:color w:val="000000"/>
                <w:kern w:val="0"/>
              </w:rPr>
              <w:t>申购/开放期内提交的交易申请，在产品成立日</w:t>
            </w:r>
            <w:r>
              <w:rPr>
                <w:rFonts w:ascii="宋体" w:hAnsi="宋体" w:cs="宋体"/>
                <w:color w:val="000000"/>
                <w:kern w:val="0"/>
              </w:rPr>
              <w:t>/</w:t>
            </w:r>
            <w:r>
              <w:rPr>
                <w:rFonts w:hint="eastAsia" w:ascii="宋体" w:hAnsi="宋体" w:cs="宋体"/>
                <w:color w:val="000000"/>
                <w:kern w:val="0"/>
              </w:rPr>
              <w:t xml:space="preserve"> 确认日前一日下午</w:t>
            </w:r>
            <w:r>
              <w:rPr>
                <w:rFonts w:ascii="宋体" w:hAnsi="宋体" w:cs="宋体"/>
                <w:color w:val="000000"/>
                <w:kern w:val="0"/>
              </w:rPr>
              <w:t>17:00</w:t>
            </w:r>
            <w:r>
              <w:rPr>
                <w:rFonts w:hint="eastAsia" w:ascii="宋体" w:hAnsi="宋体" w:cs="宋体"/>
                <w:color w:val="000000"/>
                <w:kern w:val="0"/>
              </w:rPr>
              <w:t>之前可以撤单。</w:t>
            </w:r>
          </w:p>
          <w:p>
            <w:pPr>
              <w:rPr>
                <w:rFonts w:ascii="宋体" w:hAnsi="宋体" w:cs="宋体"/>
                <w:color w:val="000000"/>
                <w:kern w:val="0"/>
              </w:rPr>
            </w:pPr>
            <w:r>
              <w:rPr>
                <w:rFonts w:hint="eastAsia" w:ascii="宋体" w:hAnsi="宋体" w:cs="宋体"/>
                <w:color w:val="000000"/>
                <w:kern w:val="0"/>
              </w:rPr>
              <w:t>4.工作时间为每个工作日上午</w:t>
            </w:r>
            <w:r>
              <w:rPr>
                <w:rFonts w:ascii="宋体" w:hAnsi="宋体" w:cs="宋体"/>
                <w:color w:val="000000"/>
                <w:kern w:val="0"/>
              </w:rPr>
              <w:t>9:00</w:t>
            </w:r>
            <w:r>
              <w:rPr>
                <w:rFonts w:hint="eastAsia" w:ascii="宋体" w:hAnsi="宋体" w:cs="宋体"/>
                <w:color w:val="000000"/>
                <w:kern w:val="0"/>
              </w:rPr>
              <w:t>至下午</w:t>
            </w:r>
            <w:r>
              <w:rPr>
                <w:rFonts w:ascii="宋体" w:hAnsi="宋体" w:cs="宋体"/>
                <w:color w:val="000000"/>
                <w:kern w:val="0"/>
              </w:rPr>
              <w:t>17:00</w:t>
            </w:r>
            <w:r>
              <w:rPr>
                <w:rFonts w:hint="eastAsia" w:ascii="宋体" w:hAnsi="宋体" w:cs="宋体"/>
                <w:color w:val="000000"/>
                <w:kern w:val="0"/>
              </w:rPr>
              <w:t>。确认日如遇非工作日，则顺延至下一工作日。</w:t>
            </w:r>
          </w:p>
          <w:p>
            <w:pPr>
              <w:rPr>
                <w:rFonts w:ascii="宋体" w:hAnsi="宋体" w:cs="宋体"/>
                <w:color w:val="000000"/>
                <w:kern w:val="0"/>
              </w:rPr>
            </w:pPr>
            <w:r>
              <w:rPr>
                <w:rFonts w:hint="eastAsia" w:ascii="宋体" w:hAnsi="宋体" w:cs="宋体"/>
                <w:color w:val="000000"/>
                <w:kern w:val="0"/>
              </w:rPr>
              <w:t>5.如果投资者在一个投资周期开放期内未提出赎回申请，则该投资周期终止后，投资者的理财资金继续进入下一个投资周期进行理财运作。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9" w:hRule="atLeast"/>
          <w:jc w:val="center"/>
        </w:trPr>
        <w:tc>
          <w:tcPr>
            <w:tcW w:w="1513"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rPr>
                <w:rFonts w:ascii="宋体" w:hAnsi="宋体" w:cs="宋体"/>
                <w:color w:val="000000"/>
                <w:kern w:val="0"/>
              </w:rPr>
            </w:pPr>
            <w:r>
              <w:rPr>
                <w:rFonts w:hint="eastAsia" w:ascii="宋体" w:hAnsi="宋体" w:cs="宋体"/>
                <w:color w:val="000000"/>
                <w:kern w:val="0"/>
              </w:rPr>
              <w:t>赎回资金到账</w:t>
            </w:r>
          </w:p>
        </w:tc>
        <w:tc>
          <w:tcPr>
            <w:tcW w:w="7404"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rPr>
                <w:rFonts w:ascii="宋体" w:hAnsi="宋体" w:cs="宋体"/>
                <w:color w:val="000000"/>
                <w:kern w:val="0"/>
              </w:rPr>
            </w:pPr>
            <w:r>
              <w:rPr>
                <w:rFonts w:hint="eastAsia" w:ascii="宋体" w:hAnsi="宋体" w:cs="宋体"/>
                <w:color w:val="000000"/>
                <w:kern w:val="0"/>
              </w:rPr>
              <w:t>赎回资金到账时间为确认日后</w:t>
            </w:r>
            <w:r>
              <w:rPr>
                <w:rFonts w:ascii="宋体" w:hAnsi="宋体" w:cs="宋体"/>
                <w:color w:val="000000"/>
                <w:kern w:val="0"/>
              </w:rPr>
              <w:t>3</w:t>
            </w:r>
            <w:r>
              <w:rPr>
                <w:rFonts w:hint="eastAsia" w:ascii="宋体" w:hAnsi="宋体" w:cs="宋体"/>
                <w:color w:val="000000"/>
                <w:kern w:val="0"/>
              </w:rPr>
              <w:t>个工作日内。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9" w:hRule="atLeast"/>
          <w:jc w:val="center"/>
        </w:trPr>
        <w:tc>
          <w:tcPr>
            <w:tcW w:w="1513"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rPr>
                <w:rFonts w:ascii="宋体" w:hAnsi="宋体" w:cs="宋体"/>
                <w:color w:val="000000"/>
                <w:kern w:val="0"/>
              </w:rPr>
            </w:pPr>
            <w:r>
              <w:rPr>
                <w:rFonts w:hint="eastAsia" w:ascii="宋体" w:hAnsi="宋体" w:cs="宋体"/>
                <w:color w:val="000000"/>
                <w:kern w:val="0"/>
              </w:rPr>
              <w:t>单位净值</w:t>
            </w:r>
          </w:p>
        </w:tc>
        <w:tc>
          <w:tcPr>
            <w:tcW w:w="7404"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rPr>
                <w:rFonts w:ascii="宋体" w:hAnsi="宋体" w:cs="宋体"/>
                <w:color w:val="000000"/>
                <w:kern w:val="0"/>
              </w:rPr>
            </w:pPr>
            <w:r>
              <w:rPr>
                <w:rFonts w:hint="eastAsia" w:ascii="宋体" w:hAnsi="宋体" w:cs="宋体"/>
                <w:color w:val="000000"/>
                <w:kern w:val="0"/>
              </w:rPr>
              <w:t>单位净值为提取相关税费后，单位理财计划份额的净值。理财计划单位净值保留至小数点后第</w:t>
            </w:r>
            <w:r>
              <w:rPr>
                <w:rFonts w:ascii="宋体" w:hAnsi="宋体" w:cs="宋体"/>
                <w:color w:val="000000"/>
                <w:kern w:val="0"/>
              </w:rPr>
              <w:t>4</w:t>
            </w:r>
            <w:r>
              <w:rPr>
                <w:rFonts w:hint="eastAsia" w:ascii="宋体" w:hAnsi="宋体" w:cs="宋体"/>
                <w:color w:val="000000"/>
                <w:kern w:val="0"/>
              </w:rPr>
              <w:t>位，小数点</w:t>
            </w:r>
            <w:r>
              <w:rPr>
                <w:rFonts w:ascii="宋体" w:hAnsi="宋体" w:cs="宋体"/>
                <w:color w:val="000000"/>
                <w:kern w:val="0"/>
              </w:rPr>
              <w:t>4</w:t>
            </w:r>
            <w:r>
              <w:rPr>
                <w:rFonts w:hint="eastAsia" w:ascii="宋体" w:hAnsi="宋体" w:cs="宋体"/>
                <w:color w:val="000000"/>
                <w:kern w:val="0"/>
              </w:rPr>
              <w:t>位以后去尾。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9" w:hRule="atLeast"/>
          <w:jc w:val="center"/>
        </w:trPr>
        <w:tc>
          <w:tcPr>
            <w:tcW w:w="1513"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rPr>
                <w:rFonts w:ascii="宋体" w:hAnsi="宋体" w:cs="宋体"/>
                <w:color w:val="000000"/>
                <w:kern w:val="0"/>
              </w:rPr>
            </w:pPr>
            <w:r>
              <w:rPr>
                <w:rFonts w:hint="eastAsia" w:ascii="宋体" w:hAnsi="宋体" w:cs="宋体"/>
                <w:color w:val="000000"/>
                <w:kern w:val="0"/>
              </w:rPr>
              <w:t>业绩比较基准</w:t>
            </w:r>
          </w:p>
        </w:tc>
        <w:tc>
          <w:tcPr>
            <w:tcW w:w="7404"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rPr>
                <w:rFonts w:ascii="宋体" w:hAnsi="宋体" w:cs="宋体"/>
                <w:color w:val="000000"/>
                <w:kern w:val="0"/>
              </w:rPr>
            </w:pPr>
            <w:r>
              <w:rPr>
                <w:rFonts w:hint="eastAsia" w:ascii="宋体" w:hAnsi="宋体" w:cs="宋体"/>
                <w:color w:val="000000"/>
                <w:kern w:val="0"/>
              </w:rPr>
              <w:t>本理财产品首期业绩比较基准为人民</w:t>
            </w:r>
            <w:r>
              <w:rPr>
                <w:rFonts w:ascii="宋体" w:hAnsi="宋体" w:cs="宋体"/>
                <w:color w:val="000000"/>
                <w:kern w:val="0"/>
              </w:rPr>
              <w:t>银行一年期存款基准利率</w:t>
            </w:r>
            <w:r>
              <w:rPr>
                <w:rFonts w:hint="eastAsia" w:ascii="宋体" w:hAnsi="宋体" w:cs="宋体"/>
                <w:color w:val="000000"/>
                <w:kern w:val="0"/>
              </w:rPr>
              <w:t>+2.65%。</w:t>
            </w:r>
          </w:p>
          <w:p>
            <w:pPr>
              <w:rPr>
                <w:rFonts w:ascii="宋体" w:hAnsi="宋体" w:cs="宋体"/>
                <w:color w:val="000000"/>
                <w:kern w:val="0"/>
              </w:rPr>
            </w:pPr>
            <w:r>
              <w:rPr>
                <w:rFonts w:hint="eastAsia" w:ascii="宋体" w:hAnsi="宋体" w:cs="宋体"/>
                <w:color w:val="000000"/>
                <w:kern w:val="0"/>
              </w:rPr>
              <w:t>管理人有权于确认日前</w:t>
            </w:r>
            <w:r>
              <w:rPr>
                <w:rFonts w:ascii="宋体" w:hAnsi="宋体" w:cs="宋体"/>
                <w:color w:val="000000"/>
                <w:kern w:val="0"/>
              </w:rPr>
              <w:t>3</w:t>
            </w:r>
            <w:r>
              <w:rPr>
                <w:rFonts w:hint="eastAsia" w:ascii="宋体" w:hAnsi="宋体" w:cs="宋体"/>
                <w:color w:val="000000"/>
                <w:kern w:val="0"/>
              </w:rPr>
              <w:t>个工作日调整业绩比较基准，并在管理人或销售机构官网公告。业绩比较基准调整后原说明书将不再修订。</w:t>
            </w:r>
          </w:p>
          <w:p>
            <w:pPr>
              <w:rPr>
                <w:rFonts w:hint="eastAsia" w:ascii="宋体" w:hAnsi="宋体" w:cs="宋体"/>
                <w:color w:val="000000"/>
                <w:kern w:val="0"/>
              </w:rPr>
            </w:pPr>
            <w:r>
              <w:rPr>
                <w:rFonts w:hint="eastAsia" w:ascii="宋体" w:hAnsi="宋体" w:cs="宋体"/>
                <w:color w:val="000000"/>
                <w:kern w:val="0"/>
              </w:rPr>
              <w:t>本产品为净值型理财产品，没有预期收益率。管理人提醒投资者关注，业绩比较基准并不代表实际收益率。</w:t>
            </w:r>
          </w:p>
          <w:p>
            <w:pPr>
              <w:rPr>
                <w:rFonts w:hint="eastAsia" w:ascii="宋体" w:hAnsi="宋体" w:cs="宋体"/>
                <w:color w:val="000000"/>
                <w:kern w:val="0"/>
              </w:rPr>
            </w:pPr>
            <w:r>
              <w:rPr>
                <w:rFonts w:hint="eastAsia" w:ascii="宋体" w:hAnsi="宋体" w:eastAsia="宋体" w:cs="宋体"/>
                <w:b w:val="0"/>
                <w:i w:val="0"/>
                <w:caps w:val="0"/>
                <w:color w:val="333333"/>
                <w:spacing w:val="0"/>
                <w:sz w:val="21"/>
                <w:szCs w:val="21"/>
                <w:shd w:val="clear" w:fill="FFFFFF"/>
              </w:rPr>
              <w:t>本理财计划业绩比较基准由管理人根据投资范围及投资策略，结合市场环境因素进行测算而得出。业绩比较基准是管理人基于理财计划收益风险特征、投资策略、过往经验等因素对理财计划业绩设定的投资目标，不代表理财计划的未来表现和实际收益，也不构成对理财计划收益的承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9" w:hRule="atLeast"/>
          <w:jc w:val="center"/>
        </w:trPr>
        <w:tc>
          <w:tcPr>
            <w:tcW w:w="1513"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rPr>
                <w:rFonts w:ascii="宋体" w:hAnsi="宋体" w:cs="宋体"/>
                <w:color w:val="000000"/>
                <w:kern w:val="0"/>
              </w:rPr>
            </w:pPr>
            <w:r>
              <w:rPr>
                <w:rFonts w:hint="eastAsia" w:ascii="宋体" w:hAnsi="宋体" w:cs="宋体"/>
                <w:color w:val="000000"/>
                <w:kern w:val="0"/>
              </w:rPr>
              <w:t>本金和理财收益</w:t>
            </w:r>
          </w:p>
        </w:tc>
        <w:tc>
          <w:tcPr>
            <w:tcW w:w="7404"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rPr>
                <w:rFonts w:ascii="宋体" w:hAnsi="宋体" w:cs="宋体"/>
                <w:color w:val="000000"/>
                <w:kern w:val="0"/>
              </w:rPr>
            </w:pPr>
            <w:r>
              <w:rPr>
                <w:rFonts w:hint="eastAsia" w:ascii="宋体" w:hAnsi="宋体" w:cs="宋体"/>
                <w:color w:val="000000"/>
                <w:kern w:val="0"/>
              </w:rPr>
              <w:t>本理财产品不保障本金和收益。产品累计净值不低于1时,管理人有权根据产品运作情况,进行现金分红。</w:t>
            </w:r>
          </w:p>
          <w:p>
            <w:pPr>
              <w:rPr>
                <w:rFonts w:ascii="宋体" w:hAnsi="宋体" w:cs="宋体"/>
                <w:color w:val="000000"/>
                <w:kern w:val="0"/>
              </w:rPr>
            </w:pPr>
            <w:r>
              <w:rPr>
                <w:rFonts w:hint="eastAsia" w:ascii="宋体" w:hAnsi="宋体" w:cs="宋体"/>
                <w:color w:val="000000"/>
                <w:kern w:val="0"/>
              </w:rPr>
              <w:t>投资收益</w:t>
            </w:r>
            <w:r>
              <w:rPr>
                <w:rFonts w:ascii="宋体" w:hAnsi="宋体" w:cs="宋体"/>
                <w:color w:val="000000"/>
                <w:kern w:val="0"/>
              </w:rPr>
              <w:t>=</w:t>
            </w:r>
            <w:r>
              <w:rPr>
                <w:rFonts w:hint="eastAsia" w:ascii="宋体" w:hAnsi="宋体" w:cs="宋体"/>
                <w:color w:val="000000"/>
                <w:kern w:val="0"/>
              </w:rPr>
              <w:t>投资者赎回确认时的单位净值×投资者赎回确认时份额+持有期分红收益</w:t>
            </w:r>
            <w:r>
              <w:rPr>
                <w:rFonts w:ascii="宋体" w:hAnsi="宋体" w:cs="宋体"/>
                <w:color w:val="000000"/>
                <w:kern w:val="0"/>
              </w:rPr>
              <w:t>-</w:t>
            </w:r>
            <w:r>
              <w:rPr>
                <w:rFonts w:hint="eastAsia" w:ascii="宋体" w:hAnsi="宋体" w:cs="宋体"/>
                <w:color w:val="000000"/>
                <w:kern w:val="0"/>
              </w:rPr>
              <w:t>投资者投资本金。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9" w:hRule="atLeast"/>
          <w:jc w:val="center"/>
        </w:trPr>
        <w:tc>
          <w:tcPr>
            <w:tcW w:w="1513"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rPr>
                <w:rFonts w:ascii="宋体" w:hAnsi="宋体" w:cs="宋体"/>
                <w:color w:val="000000"/>
                <w:kern w:val="0"/>
              </w:rPr>
            </w:pPr>
            <w:r>
              <w:rPr>
                <w:rFonts w:hint="eastAsia" w:ascii="宋体" w:hAnsi="宋体" w:cs="宋体"/>
                <w:color w:val="000000"/>
                <w:kern w:val="0"/>
              </w:rPr>
              <w:t>销售规则</w:t>
            </w:r>
          </w:p>
        </w:tc>
        <w:tc>
          <w:tcPr>
            <w:tcW w:w="7404"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rPr>
                <w:rFonts w:ascii="宋体" w:hAnsi="宋体" w:cs="宋体"/>
                <w:color w:val="000000"/>
                <w:kern w:val="0"/>
              </w:rPr>
            </w:pPr>
            <w:r>
              <w:rPr>
                <w:rFonts w:ascii="宋体" w:hAnsi="宋体" w:cs="宋体"/>
                <w:color w:val="000000"/>
                <w:kern w:val="0"/>
              </w:rPr>
              <w:t>1</w:t>
            </w:r>
            <w:r>
              <w:rPr>
                <w:rFonts w:hint="eastAsia" w:ascii="宋体" w:hAnsi="宋体" w:cs="宋体"/>
                <w:color w:val="000000"/>
                <w:kern w:val="0"/>
              </w:rPr>
              <w:t>．按</w:t>
            </w:r>
            <w:r>
              <w:rPr>
                <w:rFonts w:ascii="宋体" w:hAnsi="宋体" w:cs="宋体"/>
                <w:color w:val="000000"/>
                <w:kern w:val="0"/>
              </w:rPr>
              <w:t>1</w:t>
            </w:r>
            <w:r>
              <w:rPr>
                <w:rFonts w:hint="eastAsia" w:ascii="宋体" w:hAnsi="宋体" w:cs="宋体"/>
                <w:color w:val="000000"/>
                <w:kern w:val="0"/>
              </w:rPr>
              <w:t>元</w:t>
            </w:r>
            <w:r>
              <w:rPr>
                <w:rFonts w:ascii="宋体" w:hAnsi="宋体" w:cs="宋体"/>
                <w:color w:val="000000"/>
                <w:kern w:val="0"/>
              </w:rPr>
              <w:t>/</w:t>
            </w:r>
            <w:r>
              <w:rPr>
                <w:rFonts w:hint="eastAsia" w:ascii="宋体" w:hAnsi="宋体" w:cs="宋体"/>
                <w:color w:val="000000"/>
                <w:kern w:val="0"/>
              </w:rPr>
              <w:t>份的价格认购本理财产品，投资者首次购买的最低金额为1元，超出部分应为1元的整数倍。</w:t>
            </w:r>
          </w:p>
          <w:p>
            <w:pPr>
              <w:rPr>
                <w:rFonts w:ascii="宋体" w:hAnsi="宋体" w:cs="宋体"/>
                <w:color w:val="000000"/>
                <w:kern w:val="0"/>
              </w:rPr>
            </w:pPr>
            <w:r>
              <w:rPr>
                <w:rFonts w:ascii="宋体" w:hAnsi="宋体" w:cs="宋体"/>
                <w:color w:val="000000"/>
                <w:kern w:val="0"/>
              </w:rPr>
              <w:t>2</w:t>
            </w:r>
            <w:r>
              <w:rPr>
                <w:rFonts w:hint="eastAsia" w:ascii="宋体" w:hAnsi="宋体" w:cs="宋体"/>
                <w:color w:val="000000"/>
                <w:kern w:val="0"/>
              </w:rPr>
              <w:t>．产品按份额赎回，投资者可选择全额或部分赎回，申请部分赎回的，部分赎回后剩余份额应不小于1份，否则赎回不成功。</w:t>
            </w:r>
          </w:p>
          <w:p>
            <w:pPr>
              <w:rPr>
                <w:rFonts w:ascii="宋体" w:hAnsi="宋体" w:cs="宋体"/>
                <w:color w:val="000000"/>
                <w:kern w:val="0"/>
              </w:rPr>
            </w:pPr>
            <w:r>
              <w:rPr>
                <w:rFonts w:ascii="宋体" w:hAnsi="宋体" w:cs="宋体"/>
                <w:color w:val="000000"/>
                <w:kern w:val="0"/>
              </w:rPr>
              <w:t>3</w:t>
            </w:r>
            <w:r>
              <w:rPr>
                <w:rFonts w:hint="eastAsia" w:ascii="宋体" w:hAnsi="宋体" w:cs="宋体"/>
                <w:color w:val="000000"/>
                <w:kern w:val="0"/>
              </w:rPr>
              <w:t>．申购份额</w:t>
            </w:r>
            <w:r>
              <w:rPr>
                <w:rFonts w:ascii="宋体" w:hAnsi="宋体" w:cs="宋体"/>
                <w:color w:val="000000"/>
                <w:kern w:val="0"/>
              </w:rPr>
              <w:t>=</w:t>
            </w:r>
            <w:r>
              <w:rPr>
                <w:rFonts w:hint="eastAsia" w:ascii="宋体" w:hAnsi="宋体" w:cs="宋体"/>
                <w:color w:val="000000"/>
                <w:kern w:val="0"/>
              </w:rPr>
              <w:t>申购金额</w:t>
            </w:r>
            <w:r>
              <w:rPr>
                <w:rFonts w:ascii="宋体" w:hAnsi="宋体" w:cs="宋体"/>
                <w:color w:val="000000"/>
                <w:kern w:val="0"/>
              </w:rPr>
              <w:t>/</w:t>
            </w:r>
            <w:r>
              <w:rPr>
                <w:rFonts w:hint="eastAsia" w:ascii="宋体" w:hAnsi="宋体" w:cs="宋体"/>
                <w:color w:val="000000"/>
                <w:kern w:val="0"/>
              </w:rPr>
              <w:t>确认日的单位净值。</w:t>
            </w:r>
          </w:p>
          <w:p>
            <w:pPr>
              <w:rPr>
                <w:rFonts w:ascii="宋体" w:hAnsi="宋体" w:cs="宋体"/>
                <w:color w:val="000000"/>
                <w:kern w:val="0"/>
              </w:rPr>
            </w:pPr>
            <w:r>
              <w:rPr>
                <w:rFonts w:ascii="宋体" w:hAnsi="宋体" w:cs="宋体"/>
                <w:color w:val="000000"/>
                <w:kern w:val="0"/>
              </w:rPr>
              <w:t>4</w:t>
            </w:r>
            <w:r>
              <w:rPr>
                <w:rFonts w:hint="eastAsia" w:ascii="宋体" w:hAnsi="宋体" w:cs="宋体"/>
                <w:color w:val="000000"/>
                <w:kern w:val="0"/>
              </w:rPr>
              <w:t>．赎回金额</w:t>
            </w:r>
            <w:r>
              <w:rPr>
                <w:rFonts w:ascii="宋体" w:hAnsi="宋体" w:cs="宋体"/>
                <w:color w:val="000000"/>
                <w:kern w:val="0"/>
              </w:rPr>
              <w:t>=</w:t>
            </w:r>
            <w:r>
              <w:rPr>
                <w:rFonts w:hint="eastAsia" w:ascii="宋体" w:hAnsi="宋体" w:cs="宋体"/>
                <w:color w:val="000000"/>
                <w:kern w:val="0"/>
              </w:rPr>
              <w:t>赎回份额×确认日的单位净值。</w:t>
            </w:r>
          </w:p>
          <w:p>
            <w:pPr>
              <w:rPr>
                <w:rFonts w:ascii="宋体" w:hAnsi="宋体" w:cs="宋体"/>
                <w:color w:val="000000"/>
                <w:kern w:val="0"/>
              </w:rPr>
            </w:pPr>
            <w:r>
              <w:rPr>
                <w:rFonts w:ascii="宋体" w:hAnsi="宋体" w:cs="宋体"/>
                <w:color w:val="000000"/>
                <w:kern w:val="0"/>
              </w:rPr>
              <w:t>5</w:t>
            </w:r>
            <w:r>
              <w:rPr>
                <w:rFonts w:hint="eastAsia" w:ascii="宋体" w:hAnsi="宋体" w:cs="宋体"/>
                <w:color w:val="000000"/>
                <w:kern w:val="0"/>
              </w:rPr>
              <w:t>．单户最高存续份额为1亿份。</w:t>
            </w:r>
          </w:p>
          <w:p>
            <w:pPr>
              <w:rPr>
                <w:rFonts w:ascii="宋体" w:hAnsi="宋体" w:cs="宋体"/>
                <w:color w:val="000000"/>
                <w:kern w:val="0"/>
              </w:rPr>
            </w:pPr>
            <w:r>
              <w:rPr>
                <w:rFonts w:ascii="宋体" w:hAnsi="宋体" w:cs="宋体"/>
                <w:color w:val="000000"/>
                <w:kern w:val="0"/>
              </w:rPr>
              <w:t>6</w:t>
            </w:r>
            <w:r>
              <w:rPr>
                <w:rFonts w:hint="eastAsia" w:ascii="宋体" w:hAnsi="宋体" w:cs="宋体"/>
                <w:color w:val="000000"/>
                <w:kern w:val="0"/>
              </w:rPr>
              <w:t>．理财产品存续期内，若理财产品当日净赎回申请份额超过本理财产品上一日日终产品总份额</w:t>
            </w:r>
            <w:r>
              <w:rPr>
                <w:rFonts w:ascii="宋体" w:hAnsi="宋体" w:cs="宋体"/>
                <w:color w:val="000000"/>
                <w:kern w:val="0"/>
              </w:rPr>
              <w:t>10%</w:t>
            </w:r>
            <w:r>
              <w:rPr>
                <w:rFonts w:hint="eastAsia" w:ascii="宋体" w:hAnsi="宋体" w:cs="宋体"/>
                <w:color w:val="000000"/>
                <w:kern w:val="0"/>
              </w:rPr>
              <w:t>时，管理人有权</w:t>
            </w:r>
            <w:r>
              <w:rPr>
                <w:rStyle w:val="17"/>
                <w:rFonts w:hint="eastAsia" w:ascii="宋体" w:hAnsi="宋体" w:cs="宋体"/>
                <w:color w:val="000000"/>
                <w:kern w:val="0"/>
              </w:rPr>
              <w:t>拒绝</w:t>
            </w:r>
            <w:r>
              <w:rPr>
                <w:rFonts w:hint="eastAsia" w:ascii="宋体" w:hAnsi="宋体" w:cs="宋体"/>
                <w:color w:val="000000"/>
                <w:kern w:val="0"/>
              </w:rPr>
              <w:t>接受赎回申请，并最迟于下一工作日通过管理人或销售机构网站进行公告。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9" w:hRule="atLeast"/>
          <w:jc w:val="center"/>
        </w:trPr>
        <w:tc>
          <w:tcPr>
            <w:tcW w:w="1513"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rPr>
                <w:rFonts w:ascii="宋体" w:hAnsi="宋体" w:cs="宋体"/>
                <w:color w:val="000000"/>
                <w:kern w:val="0"/>
              </w:rPr>
            </w:pPr>
            <w:r>
              <w:rPr>
                <w:rFonts w:hint="eastAsia" w:ascii="宋体" w:hAnsi="宋体" w:cs="宋体"/>
                <w:color w:val="000000"/>
                <w:kern w:val="0"/>
              </w:rPr>
              <w:t>相关费用</w:t>
            </w:r>
          </w:p>
        </w:tc>
        <w:tc>
          <w:tcPr>
            <w:tcW w:w="7404"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rPr>
                <w:rFonts w:ascii="宋体" w:hAnsi="宋体" w:cs="宋体"/>
                <w:color w:val="000000"/>
                <w:kern w:val="0"/>
              </w:rPr>
            </w:pPr>
            <w:r>
              <w:rPr>
                <w:rFonts w:hint="eastAsia" w:ascii="宋体" w:hAnsi="宋体" w:cs="宋体"/>
                <w:color w:val="000000"/>
                <w:kern w:val="0"/>
              </w:rPr>
              <w:t>1．销售手续费。本产品管理人收取年化0</w:t>
            </w:r>
            <w:r>
              <w:rPr>
                <w:rFonts w:hint="eastAsia" w:ascii="宋体" w:hAnsi="宋体" w:cs="宋体"/>
                <w:color w:val="000000"/>
                <w:kern w:val="0"/>
                <w:lang w:val="en-US" w:eastAsia="zh-CN"/>
              </w:rPr>
              <w:t>.2</w:t>
            </w:r>
            <w:r>
              <w:rPr>
                <w:rFonts w:ascii="宋体" w:hAnsi="宋体" w:cs="宋体"/>
                <w:color w:val="000000"/>
                <w:kern w:val="0"/>
              </w:rPr>
              <w:t>%</w:t>
            </w:r>
            <w:r>
              <w:rPr>
                <w:rFonts w:hint="eastAsia" w:ascii="宋体" w:hAnsi="宋体" w:cs="宋体"/>
                <w:color w:val="000000"/>
                <w:kern w:val="0"/>
              </w:rPr>
              <w:t>的销售手续费，每日计提，每个投资周期结束后收取。</w:t>
            </w:r>
          </w:p>
          <w:p>
            <w:pPr>
              <w:rPr>
                <w:rFonts w:ascii="宋体" w:hAnsi="宋体" w:cs="宋体"/>
                <w:color w:val="000000"/>
                <w:kern w:val="0"/>
              </w:rPr>
            </w:pPr>
            <w:r>
              <w:rPr>
                <w:rFonts w:hint="eastAsia" w:ascii="宋体" w:hAnsi="宋体" w:cs="宋体"/>
                <w:color w:val="000000"/>
                <w:kern w:val="0"/>
              </w:rPr>
              <w:t>2．托管费。本产品托管人收取年化0.025</w:t>
            </w:r>
            <w:r>
              <w:rPr>
                <w:rFonts w:ascii="宋体" w:hAnsi="宋体" w:cs="宋体"/>
                <w:color w:val="000000"/>
                <w:kern w:val="0"/>
              </w:rPr>
              <w:t>%</w:t>
            </w:r>
            <w:r>
              <w:rPr>
                <w:rFonts w:hint="eastAsia" w:ascii="宋体" w:hAnsi="宋体" w:cs="宋体"/>
                <w:color w:val="000000"/>
                <w:kern w:val="0"/>
              </w:rPr>
              <w:t>的托管费，每日计提，每个投资周期结束后收取。</w:t>
            </w:r>
          </w:p>
          <w:p>
            <w:pPr>
              <w:rPr>
                <w:rFonts w:ascii="宋体" w:hAnsi="宋体" w:cs="宋体"/>
                <w:color w:val="000000"/>
                <w:kern w:val="0"/>
              </w:rPr>
            </w:pPr>
            <w:r>
              <w:rPr>
                <w:rFonts w:hint="eastAsia" w:ascii="宋体" w:hAnsi="宋体" w:cs="宋体"/>
                <w:color w:val="000000"/>
                <w:kern w:val="0"/>
              </w:rPr>
              <w:t>3．固定管理费。本产品管理人收取年化0.4</w:t>
            </w:r>
            <w:r>
              <w:rPr>
                <w:rFonts w:ascii="宋体" w:hAnsi="宋体" w:cs="宋体"/>
                <w:color w:val="000000"/>
                <w:kern w:val="0"/>
              </w:rPr>
              <w:t>%</w:t>
            </w:r>
            <w:r>
              <w:rPr>
                <w:rFonts w:hint="eastAsia" w:ascii="宋体" w:hAnsi="宋体" w:cs="宋体"/>
                <w:color w:val="000000"/>
                <w:kern w:val="0"/>
              </w:rPr>
              <w:t>的固定管理费，每日计提，每个投资周期结束后收取。</w:t>
            </w:r>
          </w:p>
          <w:p>
            <w:pPr>
              <w:rPr>
                <w:rFonts w:ascii="宋体" w:hAnsi="宋体" w:cs="宋体"/>
                <w:color w:val="000000"/>
                <w:kern w:val="0"/>
              </w:rPr>
            </w:pPr>
            <w:r>
              <w:rPr>
                <w:rFonts w:hint="eastAsia" w:ascii="宋体" w:hAnsi="宋体" w:cs="宋体"/>
                <w:color w:val="000000"/>
                <w:kern w:val="0"/>
              </w:rPr>
              <w:t>4．浮动管理费。理财管理人根据理财计划投资情况计算浮动管理费，本理财产品投资周期年化收益率超过业绩比较基准的部分,管理人提取</w:t>
            </w:r>
            <w:r>
              <w:rPr>
                <w:rFonts w:hint="eastAsia" w:ascii="宋体" w:hAnsi="宋体" w:cs="宋体"/>
                <w:color w:val="000000"/>
                <w:kern w:val="0"/>
                <w:lang w:val="en-US" w:eastAsia="zh-CN"/>
              </w:rPr>
              <w:t>5</w:t>
            </w:r>
            <w:r>
              <w:rPr>
                <w:rFonts w:hint="eastAsia" w:ascii="宋体" w:hAnsi="宋体" w:cs="宋体"/>
                <w:color w:val="000000"/>
                <w:kern w:val="0"/>
              </w:rPr>
              <w:t>0%作为浮动管理费。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9" w:hRule="atLeast"/>
          <w:jc w:val="center"/>
        </w:trPr>
        <w:tc>
          <w:tcPr>
            <w:tcW w:w="1513"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rPr>
                <w:rFonts w:ascii="宋体" w:hAnsi="宋体" w:cs="宋体"/>
                <w:color w:val="000000"/>
                <w:kern w:val="0"/>
              </w:rPr>
            </w:pPr>
            <w:r>
              <w:rPr>
                <w:rFonts w:hint="eastAsia" w:ascii="宋体" w:hAnsi="宋体" w:cs="宋体"/>
                <w:color w:val="000000"/>
                <w:kern w:val="0"/>
              </w:rPr>
              <w:t>终止权</w:t>
            </w:r>
          </w:p>
        </w:tc>
        <w:tc>
          <w:tcPr>
            <w:tcW w:w="7404"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rPr>
                <w:rFonts w:ascii="宋体" w:hAnsi="宋体" w:cs="宋体"/>
                <w:color w:val="000000"/>
                <w:kern w:val="0"/>
              </w:rPr>
            </w:pPr>
            <w:r>
              <w:rPr>
                <w:rFonts w:hint="eastAsia" w:ascii="宋体" w:hAnsi="宋体" w:cs="宋体"/>
                <w:color w:val="000000"/>
                <w:kern w:val="0"/>
              </w:rPr>
              <w:t>理财计划存续期内，管理人有权宣布终止本理财计划。详见本产品说明书“产品申购、赎回及终止”条款。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9" w:hRule="atLeast"/>
          <w:jc w:val="center"/>
        </w:trPr>
        <w:tc>
          <w:tcPr>
            <w:tcW w:w="1513"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rPr>
                <w:rFonts w:ascii="宋体" w:hAnsi="宋体" w:cs="宋体"/>
                <w:color w:val="000000"/>
                <w:kern w:val="0"/>
              </w:rPr>
            </w:pPr>
            <w:r>
              <w:rPr>
                <w:rFonts w:hint="eastAsia" w:ascii="宋体" w:hAnsi="宋体" w:cs="宋体"/>
                <w:color w:val="000000"/>
                <w:kern w:val="0"/>
              </w:rPr>
              <w:t>税费规定</w:t>
            </w:r>
          </w:p>
        </w:tc>
        <w:tc>
          <w:tcPr>
            <w:tcW w:w="7404"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rPr>
                <w:rFonts w:ascii="宋体" w:hAnsi="宋体" w:cs="宋体"/>
                <w:color w:val="000000"/>
                <w:kern w:val="0"/>
              </w:rPr>
            </w:pPr>
            <w:r>
              <w:rPr>
                <w:rFonts w:hint="eastAsia" w:ascii="宋体" w:hAnsi="宋体" w:cs="宋体"/>
                <w:color w:val="000000"/>
                <w:kern w:val="0"/>
              </w:rPr>
              <w:t>理财计划财产在管理、运用、处分过程中产生的税费（包括但不限于增值税及相应的附加税费等），由理财计划财产承担；管理人对该等税费无垫付义务。前述税费（包括但不限于增值税及相应附加税费）的计算、提取及缴纳，由管理人按照应税行为发生时有效的相关法律法规的规定执行。</w:t>
            </w:r>
          </w:p>
          <w:p>
            <w:pPr>
              <w:rPr>
                <w:rFonts w:ascii="宋体" w:hAnsi="宋体" w:cs="宋体"/>
                <w:color w:val="000000"/>
                <w:kern w:val="0"/>
              </w:rPr>
            </w:pPr>
            <w:r>
              <w:rPr>
                <w:rFonts w:hint="eastAsia" w:ascii="宋体" w:hAnsi="宋体" w:cs="宋体"/>
                <w:color w:val="000000"/>
                <w:kern w:val="0"/>
              </w:rPr>
              <w:t>支付给投资者的理财收益的应纳税款由投资者自行申报及缴纳。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9" w:hRule="atLeast"/>
          <w:jc w:val="center"/>
        </w:trPr>
        <w:tc>
          <w:tcPr>
            <w:tcW w:w="1513"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rPr>
                <w:rFonts w:ascii="宋体" w:hAnsi="宋体" w:cs="宋体"/>
                <w:color w:val="000000"/>
                <w:kern w:val="0"/>
              </w:rPr>
            </w:pPr>
            <w:r>
              <w:rPr>
                <w:rFonts w:hint="eastAsia" w:ascii="宋体" w:hAnsi="宋体" w:cs="宋体"/>
                <w:color w:val="000000"/>
                <w:kern w:val="0"/>
              </w:rPr>
              <w:t>其他规定</w:t>
            </w:r>
          </w:p>
        </w:tc>
        <w:tc>
          <w:tcPr>
            <w:tcW w:w="7404"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rPr>
                <w:rFonts w:ascii="宋体" w:hAnsi="宋体" w:cs="宋体"/>
                <w:color w:val="000000"/>
                <w:kern w:val="0"/>
              </w:rPr>
            </w:pPr>
            <w:r>
              <w:rPr>
                <w:rFonts w:ascii="宋体" w:hAnsi="宋体" w:cs="宋体"/>
                <w:color w:val="000000"/>
                <w:kern w:val="0"/>
              </w:rPr>
              <w:t>1</w:t>
            </w:r>
            <w:r>
              <w:rPr>
                <w:rFonts w:hint="eastAsia" w:ascii="宋体" w:hAnsi="宋体" w:cs="宋体"/>
                <w:color w:val="000000"/>
                <w:kern w:val="0"/>
              </w:rPr>
              <w:t>．认购期内，投资者认购资金按当时实行的活期利率计息，募集期内的利息所得不计入认购金额。（具体以代销机构规定为准）。</w:t>
            </w:r>
          </w:p>
          <w:p>
            <w:pPr>
              <w:rPr>
                <w:rFonts w:ascii="宋体" w:hAnsi="宋体" w:cs="宋体"/>
                <w:color w:val="000000"/>
                <w:kern w:val="0"/>
              </w:rPr>
            </w:pPr>
            <w:r>
              <w:rPr>
                <w:rFonts w:ascii="宋体" w:hAnsi="宋体" w:cs="宋体"/>
                <w:color w:val="000000"/>
                <w:kern w:val="0"/>
              </w:rPr>
              <w:t>2</w:t>
            </w:r>
            <w:r>
              <w:rPr>
                <w:rFonts w:hint="eastAsia" w:ascii="宋体" w:hAnsi="宋体" w:cs="宋体"/>
                <w:color w:val="000000"/>
                <w:kern w:val="0"/>
              </w:rPr>
              <w:t>．开放期内，投资者申购资金按当时实行的活期利率计息，且利息所得不计入申购金额。（具体以代销机构规定为准）。</w:t>
            </w:r>
          </w:p>
          <w:p>
            <w:pPr>
              <w:rPr>
                <w:rFonts w:ascii="宋体" w:hAnsi="宋体" w:cs="宋体"/>
                <w:color w:val="000000"/>
                <w:kern w:val="0"/>
              </w:rPr>
            </w:pPr>
            <w:r>
              <w:rPr>
                <w:rFonts w:ascii="宋体" w:hAnsi="宋体" w:cs="宋体"/>
                <w:color w:val="000000"/>
                <w:kern w:val="0"/>
              </w:rPr>
              <w:t>3</w:t>
            </w:r>
            <w:r>
              <w:rPr>
                <w:rFonts w:hint="eastAsia" w:ascii="宋体" w:hAnsi="宋体" w:cs="宋体"/>
                <w:color w:val="000000"/>
                <w:kern w:val="0"/>
              </w:rPr>
              <w:t>．认购</w:t>
            </w:r>
            <w:r>
              <w:rPr>
                <w:rFonts w:ascii="宋体" w:hAnsi="宋体" w:cs="宋体"/>
                <w:color w:val="000000"/>
                <w:kern w:val="0"/>
              </w:rPr>
              <w:t>/</w:t>
            </w:r>
            <w:r>
              <w:rPr>
                <w:rFonts w:hint="eastAsia" w:ascii="宋体" w:hAnsi="宋体" w:cs="宋体"/>
                <w:color w:val="000000"/>
                <w:kern w:val="0"/>
              </w:rPr>
              <w:t>申购申请成功受理后，资金立即自动冻结，投资者不得要求支取和使用。但认购</w:t>
            </w:r>
            <w:r>
              <w:rPr>
                <w:rFonts w:ascii="宋体" w:hAnsi="宋体" w:cs="宋体"/>
                <w:color w:val="000000"/>
                <w:kern w:val="0"/>
              </w:rPr>
              <w:t>/</w:t>
            </w:r>
            <w:r>
              <w:rPr>
                <w:rFonts w:hint="eastAsia" w:ascii="宋体" w:hAnsi="宋体" w:cs="宋体"/>
                <w:color w:val="000000"/>
                <w:kern w:val="0"/>
              </w:rPr>
              <w:t>申购资金的冻结不代表该认购</w:t>
            </w:r>
            <w:r>
              <w:rPr>
                <w:rFonts w:ascii="宋体" w:hAnsi="宋体" w:cs="宋体"/>
                <w:color w:val="000000"/>
                <w:kern w:val="0"/>
              </w:rPr>
              <w:t>/</w:t>
            </w:r>
            <w:r>
              <w:rPr>
                <w:rFonts w:hint="eastAsia" w:ascii="宋体" w:hAnsi="宋体" w:cs="宋体"/>
                <w:color w:val="000000"/>
                <w:kern w:val="0"/>
              </w:rPr>
              <w:t>申购成功，投资者实际认购</w:t>
            </w:r>
            <w:r>
              <w:rPr>
                <w:rFonts w:ascii="宋体" w:hAnsi="宋体" w:cs="宋体"/>
                <w:color w:val="000000"/>
                <w:kern w:val="0"/>
              </w:rPr>
              <w:t>/</w:t>
            </w:r>
            <w:r>
              <w:rPr>
                <w:rFonts w:hint="eastAsia" w:ascii="宋体" w:hAnsi="宋体" w:cs="宋体"/>
                <w:color w:val="000000"/>
                <w:kern w:val="0"/>
              </w:rPr>
              <w:t>申购成功的金额以产品成立日</w:t>
            </w:r>
            <w:r>
              <w:rPr>
                <w:rFonts w:ascii="宋体" w:hAnsi="宋体" w:cs="宋体"/>
                <w:color w:val="000000"/>
                <w:kern w:val="0"/>
              </w:rPr>
              <w:t>/</w:t>
            </w:r>
            <w:r>
              <w:rPr>
                <w:rFonts w:hint="eastAsia" w:ascii="宋体" w:hAnsi="宋体" w:cs="宋体"/>
                <w:color w:val="000000"/>
                <w:kern w:val="0"/>
              </w:rPr>
              <w:t>确认日的管理人最终确认并实际扣款的资金为准。同时，销售机构将在产品成立日</w:t>
            </w:r>
            <w:r>
              <w:rPr>
                <w:rFonts w:ascii="宋体" w:hAnsi="宋体" w:cs="宋体"/>
                <w:color w:val="000000"/>
                <w:kern w:val="0"/>
              </w:rPr>
              <w:t>/</w:t>
            </w:r>
            <w:r>
              <w:rPr>
                <w:rFonts w:hint="eastAsia" w:ascii="宋体" w:hAnsi="宋体" w:cs="宋体"/>
                <w:color w:val="000000"/>
                <w:kern w:val="0"/>
              </w:rPr>
              <w:t>确认日的次一工作日内将投资者未认购</w:t>
            </w:r>
            <w:r>
              <w:rPr>
                <w:rFonts w:ascii="宋体" w:hAnsi="宋体" w:cs="宋体"/>
                <w:color w:val="000000"/>
                <w:kern w:val="0"/>
              </w:rPr>
              <w:t>/</w:t>
            </w:r>
            <w:r>
              <w:rPr>
                <w:rFonts w:hint="eastAsia" w:ascii="宋体" w:hAnsi="宋体" w:cs="宋体"/>
                <w:color w:val="000000"/>
                <w:kern w:val="0"/>
              </w:rPr>
              <w:t>申购成功的资金（如有）解除冻结。</w:t>
            </w:r>
          </w:p>
          <w:p>
            <w:pPr>
              <w:rPr>
                <w:rFonts w:ascii="宋体" w:hAnsi="宋体" w:cs="宋体"/>
                <w:color w:val="000000"/>
                <w:kern w:val="0"/>
              </w:rPr>
            </w:pPr>
            <w:r>
              <w:rPr>
                <w:rFonts w:ascii="宋体" w:hAnsi="宋体" w:cs="宋体"/>
                <w:color w:val="000000"/>
                <w:kern w:val="0"/>
              </w:rPr>
              <w:t>4</w:t>
            </w:r>
            <w:r>
              <w:rPr>
                <w:rFonts w:hint="eastAsia" w:ascii="宋体" w:hAnsi="宋体" w:cs="宋体"/>
                <w:color w:val="000000"/>
                <w:kern w:val="0"/>
              </w:rPr>
              <w:t>．管理人有权根据市场情况和本产品运作情况，对本理财计划的收费项目、条件、标准和方式进行调整。</w:t>
            </w:r>
          </w:p>
        </w:tc>
      </w:tr>
    </w:tbl>
    <w:p>
      <w:pPr>
        <w:rPr>
          <w:rFonts w:ascii="宋体" w:hAnsi="宋体" w:cs="宋体"/>
          <w:b/>
          <w:bCs/>
        </w:rPr>
      </w:pPr>
      <w:bookmarkStart w:id="1" w:name="_Hlk36582038"/>
      <w:r>
        <w:rPr>
          <w:rFonts w:hint="eastAsia" w:ascii="宋体" w:hAnsi="宋体" w:cs="宋体"/>
          <w:b/>
          <w:bCs/>
        </w:rPr>
        <w:t>特别说明：本理财产品属于净值型理财产品，无预期收益率，投资须谨慎。管理人对理财本金及收益不提供保证承诺，请投资者基于自身的独立判断进行投资决策。</w:t>
      </w:r>
    </w:p>
    <w:bookmarkEnd w:id="1"/>
    <w:p>
      <w:pPr>
        <w:pStyle w:val="8"/>
        <w:numPr>
          <w:ilvl w:val="0"/>
          <w:numId w:val="1"/>
        </w:numPr>
        <w:spacing w:before="0" w:after="0" w:line="520" w:lineRule="exact"/>
        <w:jc w:val="both"/>
        <w:rPr>
          <w:sz w:val="28"/>
          <w:szCs w:val="28"/>
        </w:rPr>
      </w:pPr>
      <w:r>
        <w:rPr>
          <w:rFonts w:hint="eastAsia" w:cs="宋体"/>
          <w:sz w:val="28"/>
          <w:szCs w:val="28"/>
        </w:rPr>
        <w:t>产品投资</w:t>
      </w:r>
    </w:p>
    <w:p>
      <w:pPr>
        <w:pStyle w:val="30"/>
        <w:adjustRightInd/>
        <w:spacing w:line="520" w:lineRule="exact"/>
        <w:ind w:firstLine="420" w:firstLineChars="200"/>
        <w:rPr>
          <w:rFonts w:hint="eastAsia" w:ascii="宋体" w:cs="Times New Roman"/>
          <w:sz w:val="21"/>
          <w:szCs w:val="21"/>
        </w:rPr>
      </w:pPr>
      <w:r>
        <w:rPr>
          <w:rFonts w:hint="eastAsia" w:ascii="宋体" w:cs="宋体"/>
          <w:sz w:val="21"/>
          <w:szCs w:val="21"/>
        </w:rPr>
        <w:t>（一）投资范围</w:t>
      </w:r>
    </w:p>
    <w:p>
      <w:pPr>
        <w:pStyle w:val="30"/>
        <w:adjustRightInd/>
        <w:spacing w:line="520" w:lineRule="exact"/>
        <w:ind w:firstLine="420" w:firstLineChars="200"/>
        <w:rPr>
          <w:rFonts w:hint="eastAsia" w:ascii="宋体" w:cs="Times New Roman"/>
          <w:sz w:val="21"/>
          <w:szCs w:val="21"/>
        </w:rPr>
      </w:pPr>
      <w:r>
        <w:rPr>
          <w:rFonts w:hint="eastAsia" w:ascii="宋体" w:cs="宋体"/>
          <w:sz w:val="21"/>
          <w:szCs w:val="21"/>
        </w:rPr>
        <w:t>本理财产品为固定收益类产品，本金主要投资于以下符合监管要求的各类资产：</w:t>
      </w:r>
    </w:p>
    <w:p>
      <w:pPr>
        <w:pStyle w:val="30"/>
        <w:snapToGrid w:val="0"/>
        <w:spacing w:line="560" w:lineRule="exact"/>
        <w:ind w:firstLine="422" w:firstLineChars="200"/>
        <w:jc w:val="both"/>
        <w:rPr>
          <w:rFonts w:hint="eastAsia" w:ascii="宋体" w:cs="宋体"/>
          <w:b/>
          <w:sz w:val="21"/>
          <w:szCs w:val="22"/>
        </w:rPr>
      </w:pPr>
      <w:r>
        <w:rPr>
          <w:rFonts w:hint="eastAsia" w:ascii="宋体" w:cs="宋体"/>
          <w:b/>
          <w:sz w:val="21"/>
          <w:szCs w:val="21"/>
        </w:rPr>
        <w:t>固定收益类资产，包括但不限于各类债券、存款、货币市场金融工具等高流动性资产、债券基金、质押式及买断式回购、符合监管要求的债权类资产及其他符合监管要求的资产及资产管理计划，权益类资产等</w:t>
      </w:r>
      <w:r>
        <w:rPr>
          <w:rFonts w:hint="eastAsia" w:ascii="宋体" w:cs="宋体"/>
          <w:b/>
          <w:sz w:val="21"/>
          <w:szCs w:val="22"/>
        </w:rPr>
        <w:t>。</w:t>
      </w:r>
    </w:p>
    <w:p>
      <w:pPr>
        <w:pStyle w:val="30"/>
        <w:adjustRightInd/>
        <w:spacing w:line="520" w:lineRule="exact"/>
        <w:ind w:firstLine="420" w:firstLineChars="200"/>
        <w:rPr>
          <w:rFonts w:hint="eastAsia" w:ascii="宋体" w:cs="Times New Roman"/>
          <w:sz w:val="21"/>
          <w:szCs w:val="21"/>
        </w:rPr>
      </w:pPr>
      <w:r>
        <w:rPr>
          <w:rFonts w:hint="eastAsia" w:ascii="宋体" w:cs="宋体"/>
          <w:sz w:val="21"/>
          <w:szCs w:val="21"/>
        </w:rPr>
        <w:t>（二）投资比例</w:t>
      </w:r>
    </w:p>
    <w:tbl>
      <w:tblPr>
        <w:tblStyle w:val="13"/>
        <w:tblW w:w="8931"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269"/>
        <w:gridCol w:w="4820"/>
        <w:gridCol w:w="184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94" w:hRule="atLeast"/>
          <w:jc w:val="center"/>
        </w:trPr>
        <w:tc>
          <w:tcPr>
            <w:tcW w:w="2269" w:type="dxa"/>
            <w:vAlign w:val="center"/>
          </w:tcPr>
          <w:p>
            <w:pPr>
              <w:rPr>
                <w:rFonts w:ascii="宋体" w:cs="Times New Roman"/>
                <w:color w:val="000000"/>
                <w:kern w:val="0"/>
                <w:sz w:val="18"/>
                <w:szCs w:val="18"/>
              </w:rPr>
            </w:pPr>
            <w:r>
              <w:rPr>
                <w:rFonts w:hint="eastAsia" w:ascii="宋体" w:hAnsi="宋体" w:cs="宋体"/>
                <w:color w:val="000000"/>
                <w:kern w:val="0"/>
                <w:sz w:val="18"/>
                <w:szCs w:val="18"/>
              </w:rPr>
              <w:t>资产类别</w:t>
            </w:r>
          </w:p>
        </w:tc>
        <w:tc>
          <w:tcPr>
            <w:tcW w:w="4820" w:type="dxa"/>
            <w:vAlign w:val="center"/>
          </w:tcPr>
          <w:p>
            <w:pPr>
              <w:rPr>
                <w:rFonts w:ascii="宋体" w:cs="Times New Roman"/>
                <w:color w:val="000000"/>
                <w:kern w:val="0"/>
                <w:sz w:val="18"/>
                <w:szCs w:val="18"/>
              </w:rPr>
            </w:pPr>
            <w:r>
              <w:rPr>
                <w:rFonts w:hint="eastAsia" w:ascii="宋体" w:hAnsi="宋体" w:cs="宋体"/>
                <w:color w:val="000000"/>
                <w:kern w:val="0"/>
                <w:sz w:val="18"/>
                <w:szCs w:val="18"/>
              </w:rPr>
              <w:t>资产种类</w:t>
            </w:r>
          </w:p>
        </w:tc>
        <w:tc>
          <w:tcPr>
            <w:tcW w:w="1842" w:type="dxa"/>
            <w:vAlign w:val="center"/>
          </w:tcPr>
          <w:p>
            <w:pPr>
              <w:rPr>
                <w:rFonts w:ascii="宋体" w:cs="Times New Roman"/>
                <w:color w:val="000000"/>
                <w:kern w:val="0"/>
                <w:sz w:val="18"/>
                <w:szCs w:val="18"/>
              </w:rPr>
            </w:pPr>
            <w:r>
              <w:rPr>
                <w:rFonts w:hint="eastAsia" w:ascii="宋体" w:hAnsi="宋体" w:cs="宋体"/>
                <w:color w:val="000000"/>
                <w:kern w:val="0"/>
                <w:sz w:val="18"/>
                <w:szCs w:val="18"/>
              </w:rPr>
              <w:t>投资比例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01" w:hRule="atLeast"/>
          <w:jc w:val="center"/>
        </w:trPr>
        <w:tc>
          <w:tcPr>
            <w:tcW w:w="2269" w:type="dxa"/>
            <w:vMerge w:val="restart"/>
            <w:vAlign w:val="center"/>
          </w:tcPr>
          <w:p>
            <w:pPr>
              <w:rPr>
                <w:rFonts w:ascii="宋体" w:cs="Times New Roman"/>
                <w:color w:val="000000"/>
                <w:kern w:val="0"/>
                <w:sz w:val="18"/>
                <w:szCs w:val="18"/>
              </w:rPr>
            </w:pPr>
            <w:r>
              <w:rPr>
                <w:rFonts w:hint="eastAsia" w:ascii="宋体" w:hAnsi="宋体" w:cs="宋体"/>
                <w:color w:val="000000"/>
                <w:kern w:val="0"/>
                <w:sz w:val="18"/>
                <w:szCs w:val="18"/>
              </w:rPr>
              <w:t>固定收益类</w:t>
            </w:r>
          </w:p>
        </w:tc>
        <w:tc>
          <w:tcPr>
            <w:tcW w:w="4820" w:type="dxa"/>
            <w:vAlign w:val="center"/>
          </w:tcPr>
          <w:p>
            <w:pPr>
              <w:rPr>
                <w:rFonts w:ascii="宋体" w:cs="Times New Roman"/>
                <w:color w:val="000000"/>
                <w:kern w:val="0"/>
                <w:sz w:val="18"/>
                <w:szCs w:val="18"/>
              </w:rPr>
            </w:pPr>
            <w:r>
              <w:rPr>
                <w:rFonts w:hint="eastAsia" w:ascii="宋体" w:hAnsi="宋体" w:cs="宋体"/>
                <w:color w:val="000000"/>
                <w:kern w:val="0"/>
                <w:sz w:val="18"/>
                <w:szCs w:val="18"/>
              </w:rPr>
              <w:t>货币市场工具类</w:t>
            </w:r>
          </w:p>
        </w:tc>
        <w:tc>
          <w:tcPr>
            <w:tcW w:w="1842" w:type="dxa"/>
            <w:vMerge w:val="restart"/>
            <w:vAlign w:val="center"/>
          </w:tcPr>
          <w:p>
            <w:pPr>
              <w:rPr>
                <w:rFonts w:ascii="宋体" w:cs="Times New Roman"/>
                <w:color w:val="000000"/>
                <w:kern w:val="0"/>
                <w:sz w:val="18"/>
                <w:szCs w:val="18"/>
              </w:rPr>
            </w:pPr>
            <w:r>
              <w:rPr>
                <w:rFonts w:ascii="宋体" w:hAnsi="宋体" w:cs="宋体"/>
                <w:color w:val="000000"/>
                <w:kern w:val="0"/>
                <w:sz w:val="18"/>
                <w:szCs w:val="18"/>
              </w:rPr>
              <w:t>80%-100%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00" w:hRule="atLeast"/>
          <w:jc w:val="center"/>
        </w:trPr>
        <w:tc>
          <w:tcPr>
            <w:tcW w:w="2269" w:type="dxa"/>
            <w:vMerge w:val="continue"/>
            <w:vAlign w:val="center"/>
          </w:tcPr>
          <w:p>
            <w:pPr>
              <w:rPr>
                <w:rFonts w:ascii="宋体" w:cs="Times New Roman"/>
                <w:color w:val="000000"/>
                <w:kern w:val="0"/>
                <w:sz w:val="18"/>
                <w:szCs w:val="18"/>
              </w:rPr>
            </w:pPr>
          </w:p>
        </w:tc>
        <w:tc>
          <w:tcPr>
            <w:tcW w:w="4820" w:type="dxa"/>
            <w:vAlign w:val="center"/>
          </w:tcPr>
          <w:p>
            <w:pPr>
              <w:rPr>
                <w:rFonts w:ascii="宋体" w:cs="Times New Roman"/>
                <w:color w:val="000000"/>
                <w:kern w:val="0"/>
                <w:sz w:val="18"/>
                <w:szCs w:val="18"/>
              </w:rPr>
            </w:pPr>
            <w:r>
              <w:rPr>
                <w:rFonts w:hint="eastAsia" w:ascii="宋体" w:hAnsi="宋体" w:cs="宋体"/>
                <w:color w:val="000000"/>
                <w:kern w:val="0"/>
                <w:sz w:val="18"/>
                <w:szCs w:val="18"/>
              </w:rPr>
              <w:t>债券类</w:t>
            </w:r>
          </w:p>
        </w:tc>
        <w:tc>
          <w:tcPr>
            <w:tcW w:w="1842" w:type="dxa"/>
            <w:vMerge w:val="continue"/>
            <w:vAlign w:val="center"/>
          </w:tcPr>
          <w:p>
            <w:pPr>
              <w:rPr>
                <w:rFonts w:ascii="宋体" w:cs="Times New Roman"/>
                <w:color w:val="000000"/>
                <w:kern w:val="0"/>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3" w:hRule="atLeast"/>
          <w:jc w:val="center"/>
        </w:trPr>
        <w:tc>
          <w:tcPr>
            <w:tcW w:w="2269" w:type="dxa"/>
            <w:vMerge w:val="continue"/>
            <w:vAlign w:val="center"/>
          </w:tcPr>
          <w:p>
            <w:pPr>
              <w:rPr>
                <w:rFonts w:ascii="宋体" w:cs="Times New Roman"/>
                <w:color w:val="000000"/>
                <w:kern w:val="0"/>
                <w:sz w:val="18"/>
                <w:szCs w:val="18"/>
              </w:rPr>
            </w:pPr>
          </w:p>
        </w:tc>
        <w:tc>
          <w:tcPr>
            <w:tcW w:w="4820" w:type="dxa"/>
            <w:vAlign w:val="center"/>
          </w:tcPr>
          <w:p>
            <w:pPr>
              <w:rPr>
                <w:rFonts w:ascii="宋体" w:cs="Times New Roman"/>
                <w:color w:val="000000"/>
                <w:kern w:val="0"/>
                <w:sz w:val="18"/>
                <w:szCs w:val="18"/>
              </w:rPr>
            </w:pPr>
            <w:r>
              <w:rPr>
                <w:rFonts w:hint="eastAsia" w:ascii="宋体" w:hAnsi="宋体" w:cs="宋体"/>
                <w:color w:val="000000"/>
                <w:kern w:val="0"/>
                <w:sz w:val="18"/>
                <w:szCs w:val="18"/>
              </w:rPr>
              <w:t>符合监管要求的债权类资产</w:t>
            </w:r>
          </w:p>
        </w:tc>
        <w:tc>
          <w:tcPr>
            <w:tcW w:w="1842" w:type="dxa"/>
            <w:vMerge w:val="continue"/>
            <w:vAlign w:val="center"/>
          </w:tcPr>
          <w:p>
            <w:pPr>
              <w:rPr>
                <w:rFonts w:ascii="宋体" w:cs="Times New Roman"/>
                <w:color w:val="000000"/>
                <w:kern w:val="0"/>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3" w:hRule="atLeast"/>
          <w:jc w:val="center"/>
        </w:trPr>
        <w:tc>
          <w:tcPr>
            <w:tcW w:w="2269" w:type="dxa"/>
            <w:vMerge w:val="continue"/>
            <w:vAlign w:val="center"/>
          </w:tcPr>
          <w:p>
            <w:pPr>
              <w:rPr>
                <w:rFonts w:ascii="宋体" w:cs="Times New Roman"/>
                <w:color w:val="000000"/>
                <w:kern w:val="0"/>
                <w:sz w:val="18"/>
                <w:szCs w:val="18"/>
              </w:rPr>
            </w:pPr>
          </w:p>
        </w:tc>
        <w:tc>
          <w:tcPr>
            <w:tcW w:w="4820" w:type="dxa"/>
            <w:vAlign w:val="center"/>
          </w:tcPr>
          <w:p>
            <w:pPr>
              <w:rPr>
                <w:rFonts w:ascii="宋体" w:cs="Times New Roman"/>
                <w:color w:val="000000"/>
                <w:kern w:val="0"/>
                <w:sz w:val="18"/>
                <w:szCs w:val="18"/>
              </w:rPr>
            </w:pPr>
            <w:r>
              <w:rPr>
                <w:rFonts w:hint="eastAsia" w:ascii="宋体" w:hAnsi="宋体" w:cs="宋体"/>
                <w:color w:val="000000"/>
                <w:kern w:val="0"/>
                <w:sz w:val="18"/>
                <w:szCs w:val="18"/>
              </w:rPr>
              <w:t>其他符合监管要求的资产及资产管理计划</w:t>
            </w:r>
          </w:p>
        </w:tc>
        <w:tc>
          <w:tcPr>
            <w:tcW w:w="1842" w:type="dxa"/>
            <w:vMerge w:val="continue"/>
            <w:vAlign w:val="center"/>
          </w:tcPr>
          <w:p>
            <w:pPr>
              <w:rPr>
                <w:rFonts w:ascii="宋体" w:cs="Times New Roman"/>
                <w:color w:val="000000"/>
                <w:kern w:val="0"/>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01" w:hRule="atLeast"/>
          <w:jc w:val="center"/>
        </w:trPr>
        <w:tc>
          <w:tcPr>
            <w:tcW w:w="2269" w:type="dxa"/>
            <w:vMerge w:val="restart"/>
            <w:vAlign w:val="center"/>
          </w:tcPr>
          <w:p>
            <w:pPr>
              <w:rPr>
                <w:rFonts w:ascii="宋体" w:cs="Times New Roman"/>
                <w:color w:val="000000"/>
                <w:kern w:val="0"/>
                <w:sz w:val="18"/>
                <w:szCs w:val="18"/>
              </w:rPr>
            </w:pPr>
            <w:r>
              <w:rPr>
                <w:rFonts w:hint="eastAsia" w:ascii="宋体" w:hAnsi="宋体" w:cs="宋体"/>
                <w:color w:val="000000"/>
                <w:kern w:val="0"/>
                <w:sz w:val="18"/>
                <w:szCs w:val="18"/>
              </w:rPr>
              <w:t>其他资产</w:t>
            </w:r>
          </w:p>
        </w:tc>
        <w:tc>
          <w:tcPr>
            <w:tcW w:w="4820" w:type="dxa"/>
            <w:vAlign w:val="center"/>
          </w:tcPr>
          <w:p>
            <w:pPr>
              <w:rPr>
                <w:rFonts w:ascii="宋体" w:cs="Times New Roman"/>
                <w:color w:val="000000"/>
                <w:kern w:val="0"/>
                <w:sz w:val="18"/>
                <w:szCs w:val="18"/>
              </w:rPr>
            </w:pPr>
            <w:r>
              <w:rPr>
                <w:rFonts w:hint="eastAsia" w:ascii="宋体" w:hAnsi="宋体" w:cs="宋体"/>
                <w:color w:val="000000"/>
                <w:kern w:val="0"/>
                <w:sz w:val="18"/>
                <w:szCs w:val="18"/>
              </w:rPr>
              <w:t>境内股票类</w:t>
            </w:r>
          </w:p>
        </w:tc>
        <w:tc>
          <w:tcPr>
            <w:tcW w:w="1842" w:type="dxa"/>
            <w:vMerge w:val="restart"/>
            <w:vAlign w:val="center"/>
          </w:tcPr>
          <w:p>
            <w:pPr>
              <w:rPr>
                <w:rFonts w:ascii="宋体" w:cs="Times New Roman"/>
                <w:color w:val="000000"/>
                <w:kern w:val="0"/>
                <w:sz w:val="18"/>
                <w:szCs w:val="18"/>
              </w:rPr>
            </w:pPr>
            <w:r>
              <w:rPr>
                <w:rFonts w:ascii="宋体" w:hAnsi="宋体" w:cs="宋体"/>
                <w:color w:val="000000"/>
                <w:kern w:val="0"/>
                <w:sz w:val="18"/>
                <w:szCs w:val="18"/>
              </w:rPr>
              <w:t>0%-20%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4" w:hRule="atLeast"/>
          <w:jc w:val="center"/>
        </w:trPr>
        <w:tc>
          <w:tcPr>
            <w:tcW w:w="2269" w:type="dxa"/>
            <w:vMerge w:val="continue"/>
            <w:vAlign w:val="center"/>
          </w:tcPr>
          <w:p>
            <w:pPr>
              <w:spacing w:line="520" w:lineRule="exact"/>
              <w:jc w:val="center"/>
              <w:rPr>
                <w:rFonts w:ascii="宋体" w:cs="Times New Roman"/>
                <w:kern w:val="0"/>
                <w:sz w:val="18"/>
                <w:szCs w:val="18"/>
              </w:rPr>
            </w:pPr>
          </w:p>
        </w:tc>
        <w:tc>
          <w:tcPr>
            <w:tcW w:w="4820" w:type="dxa"/>
            <w:vAlign w:val="center"/>
          </w:tcPr>
          <w:p>
            <w:pPr>
              <w:rPr>
                <w:rFonts w:ascii="宋体" w:cs="Times New Roman"/>
                <w:kern w:val="0"/>
                <w:sz w:val="18"/>
                <w:szCs w:val="18"/>
              </w:rPr>
            </w:pPr>
            <w:r>
              <w:rPr>
                <w:rFonts w:hint="eastAsia" w:ascii="宋体" w:hAnsi="宋体" w:cs="宋体"/>
                <w:color w:val="000000"/>
                <w:kern w:val="0"/>
                <w:sz w:val="18"/>
                <w:szCs w:val="18"/>
              </w:rPr>
              <w:t>其他符合监管要求的权益类资产</w:t>
            </w:r>
          </w:p>
        </w:tc>
        <w:tc>
          <w:tcPr>
            <w:tcW w:w="1842" w:type="dxa"/>
            <w:vMerge w:val="continue"/>
            <w:vAlign w:val="center"/>
          </w:tcPr>
          <w:p>
            <w:pPr>
              <w:spacing w:line="520" w:lineRule="exact"/>
              <w:jc w:val="center"/>
              <w:rPr>
                <w:rFonts w:ascii="宋体" w:cs="Times New Roman"/>
                <w:kern w:val="0"/>
                <w:sz w:val="18"/>
                <w:szCs w:val="18"/>
              </w:rPr>
            </w:pPr>
          </w:p>
        </w:tc>
      </w:tr>
    </w:tbl>
    <w:p>
      <w:pPr>
        <w:pStyle w:val="30"/>
        <w:adjustRightInd/>
        <w:spacing w:line="520" w:lineRule="exact"/>
        <w:ind w:firstLine="420" w:firstLineChars="200"/>
        <w:rPr>
          <w:rFonts w:hint="eastAsia" w:ascii="宋体" w:cs="Times New Roman"/>
          <w:sz w:val="21"/>
          <w:szCs w:val="21"/>
        </w:rPr>
      </w:pPr>
      <w:r>
        <w:rPr>
          <w:rFonts w:hint="eastAsia" w:ascii="宋体" w:cs="宋体"/>
          <w:sz w:val="21"/>
          <w:szCs w:val="21"/>
        </w:rPr>
        <w:t>（三）投资策略</w:t>
      </w:r>
    </w:p>
    <w:p>
      <w:pPr>
        <w:pStyle w:val="30"/>
        <w:spacing w:line="360" w:lineRule="auto"/>
        <w:ind w:firstLine="420" w:firstLineChars="200"/>
        <w:rPr>
          <w:rFonts w:hint="eastAsia" w:ascii="宋体" w:cs="Times New Roman"/>
          <w:sz w:val="21"/>
          <w:szCs w:val="21"/>
        </w:rPr>
      </w:pPr>
      <w:r>
        <w:rPr>
          <w:rFonts w:hint="eastAsia" w:ascii="宋体" w:cs="宋体"/>
          <w:sz w:val="21"/>
          <w:szCs w:val="21"/>
        </w:rPr>
        <w:t>本理财计划本着稳健投资的理念，基于宏观经济形势、货币政策、固定收益资产价格走势，采用安全性和流动性优先、优选投资品种，采取久期策略和信用策略来获取稳定收益。本产品以固定收益投资为主，主要投资于债券、存款、货币基金等高流动性资产并通过开展债券回购等融入或融出资金，以应对流动性需要和提高资金使用效率。</w:t>
      </w:r>
      <w:r>
        <w:rPr>
          <w:rFonts w:hint="eastAsia" w:ascii="宋体" w:cs="宋体"/>
          <w:b/>
          <w:sz w:val="21"/>
          <w:szCs w:val="21"/>
        </w:rPr>
        <w:t>本产品还可能根据市场行情，在监管政策允许的范围内，在适当的时机投资不高于理财产品总资产的20%的资金于权益类资产。</w:t>
      </w:r>
    </w:p>
    <w:p>
      <w:pPr>
        <w:pStyle w:val="30"/>
        <w:numPr>
          <w:ilvl w:val="0"/>
          <w:numId w:val="2"/>
        </w:numPr>
        <w:spacing w:line="360" w:lineRule="auto"/>
        <w:ind w:firstLine="420" w:firstLineChars="200"/>
        <w:rPr>
          <w:rFonts w:hint="eastAsia" w:ascii="宋体" w:cs="Times New Roman"/>
          <w:sz w:val="21"/>
          <w:szCs w:val="21"/>
        </w:rPr>
      </w:pPr>
      <w:r>
        <w:rPr>
          <w:rFonts w:hint="eastAsia" w:ascii="宋体" w:cs="宋体"/>
          <w:sz w:val="21"/>
          <w:szCs w:val="21"/>
        </w:rPr>
        <w:t>投资模拟情况</w:t>
      </w:r>
    </w:p>
    <w:p>
      <w:pPr>
        <w:pStyle w:val="30"/>
        <w:spacing w:line="360" w:lineRule="auto"/>
        <w:ind w:firstLine="420" w:firstLineChars="200"/>
        <w:rPr>
          <w:rFonts w:hint="eastAsia" w:ascii="宋体" w:cs="Times New Roman"/>
          <w:sz w:val="21"/>
          <w:szCs w:val="21"/>
        </w:rPr>
      </w:pPr>
      <w:r>
        <w:rPr>
          <w:rFonts w:hint="eastAsia" w:ascii="宋体" w:cs="宋体"/>
          <w:sz w:val="21"/>
          <w:szCs w:val="21"/>
        </w:rPr>
        <w:t>按下列投资品的市场收益率或公允估值进行历史模拟，测算收益率如下（</w:t>
      </w:r>
      <w:r>
        <w:rPr>
          <w:rFonts w:hint="eastAsia" w:ascii="宋体" w:cs="宋体"/>
          <w:b/>
          <w:sz w:val="21"/>
          <w:szCs w:val="21"/>
        </w:rPr>
        <w:t>理财产品过往业绩不代表其未来表现，不等于理财产品实际收益，投资须谨慎</w:t>
      </w:r>
      <w:r>
        <w:rPr>
          <w:rFonts w:hint="eastAsia" w:ascii="宋体" w:cs="宋体"/>
          <w:sz w:val="21"/>
          <w:szCs w:val="21"/>
        </w:rPr>
        <w:t>）：</w:t>
      </w:r>
    </w:p>
    <w:tbl>
      <w:tblPr>
        <w:tblStyle w:val="13"/>
        <w:tblW w:w="9359" w:type="dxa"/>
        <w:jc w:val="center"/>
        <w:tblLayout w:type="fixed"/>
        <w:tblCellMar>
          <w:top w:w="15" w:type="dxa"/>
          <w:left w:w="15" w:type="dxa"/>
          <w:bottom w:w="15" w:type="dxa"/>
          <w:right w:w="15" w:type="dxa"/>
        </w:tblCellMar>
      </w:tblPr>
      <w:tblGrid>
        <w:gridCol w:w="3572"/>
        <w:gridCol w:w="2148"/>
        <w:gridCol w:w="3639"/>
      </w:tblGrid>
      <w:tr>
        <w:tblPrEx>
          <w:tblCellMar>
            <w:top w:w="15" w:type="dxa"/>
            <w:left w:w="15" w:type="dxa"/>
            <w:bottom w:w="15" w:type="dxa"/>
            <w:right w:w="15" w:type="dxa"/>
          </w:tblCellMar>
        </w:tblPrEx>
        <w:trPr>
          <w:trHeight w:val="285" w:hRule="atLeast"/>
          <w:jc w:val="center"/>
        </w:trPr>
        <w:tc>
          <w:tcPr>
            <w:tcW w:w="3572"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cs="Times New Roman"/>
                <w:color w:val="000000"/>
                <w:sz w:val="18"/>
                <w:szCs w:val="18"/>
              </w:rPr>
            </w:pPr>
            <w:r>
              <w:rPr>
                <w:rFonts w:hint="eastAsia" w:ascii="宋体" w:hAnsi="宋体" w:cs="宋体"/>
                <w:color w:val="000000"/>
                <w:kern w:val="0"/>
                <w:sz w:val="18"/>
                <w:szCs w:val="18"/>
              </w:rPr>
              <w:t>资产类型</w:t>
            </w:r>
          </w:p>
        </w:tc>
        <w:tc>
          <w:tcPr>
            <w:tcW w:w="214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Times New Roman"/>
                <w:color w:val="000000"/>
                <w:sz w:val="18"/>
                <w:szCs w:val="18"/>
              </w:rPr>
            </w:pPr>
            <w:r>
              <w:rPr>
                <w:rFonts w:hint="eastAsia" w:ascii="宋体" w:hAnsi="宋体" w:cs="宋体"/>
                <w:color w:val="000000"/>
                <w:kern w:val="0"/>
                <w:sz w:val="18"/>
                <w:szCs w:val="18"/>
              </w:rPr>
              <w:t>收益率</w:t>
            </w:r>
          </w:p>
        </w:tc>
        <w:tc>
          <w:tcPr>
            <w:tcW w:w="363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Times New Roman"/>
                <w:color w:val="000000"/>
                <w:sz w:val="18"/>
                <w:szCs w:val="18"/>
              </w:rPr>
            </w:pPr>
            <w:r>
              <w:rPr>
                <w:rFonts w:hint="eastAsia" w:ascii="宋体" w:hAnsi="宋体" w:cs="宋体"/>
                <w:color w:val="000000"/>
                <w:kern w:val="0"/>
                <w:sz w:val="18"/>
                <w:szCs w:val="18"/>
              </w:rPr>
              <w:t>权重</w:t>
            </w:r>
          </w:p>
        </w:tc>
      </w:tr>
      <w:tr>
        <w:tblPrEx>
          <w:tblCellMar>
            <w:top w:w="15" w:type="dxa"/>
            <w:left w:w="15" w:type="dxa"/>
            <w:bottom w:w="15" w:type="dxa"/>
            <w:right w:w="15" w:type="dxa"/>
          </w:tblCellMar>
        </w:tblPrEx>
        <w:trPr>
          <w:trHeight w:val="285" w:hRule="atLeast"/>
          <w:jc w:val="center"/>
        </w:trPr>
        <w:tc>
          <w:tcPr>
            <w:tcW w:w="3572"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cs="Times New Roman"/>
                <w:color w:val="000000"/>
                <w:sz w:val="18"/>
                <w:szCs w:val="18"/>
              </w:rPr>
            </w:pPr>
            <w:r>
              <w:rPr>
                <w:rFonts w:hint="eastAsia" w:ascii="宋体" w:hAnsi="宋体" w:cs="宋体"/>
                <w:color w:val="000000"/>
                <w:kern w:val="0"/>
                <w:sz w:val="18"/>
                <w:szCs w:val="18"/>
              </w:rPr>
              <w:t>货币市场类工具</w:t>
            </w:r>
          </w:p>
        </w:tc>
        <w:tc>
          <w:tcPr>
            <w:tcW w:w="214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Times New Roman"/>
                <w:color w:val="000000"/>
                <w:sz w:val="18"/>
                <w:szCs w:val="18"/>
              </w:rPr>
            </w:pPr>
            <w:r>
              <w:rPr>
                <w:rFonts w:hint="eastAsia" w:ascii="宋体" w:hAnsi="宋体" w:cs="宋体"/>
                <w:color w:val="000000"/>
                <w:kern w:val="0"/>
                <w:sz w:val="18"/>
                <w:szCs w:val="18"/>
              </w:rPr>
              <w:t>1</w:t>
            </w:r>
            <w:r>
              <w:rPr>
                <w:rFonts w:ascii="宋体" w:hAnsi="宋体" w:cs="宋体"/>
                <w:color w:val="000000"/>
                <w:kern w:val="0"/>
                <w:sz w:val="18"/>
                <w:szCs w:val="18"/>
              </w:rPr>
              <w:t>%-4.</w:t>
            </w:r>
            <w:r>
              <w:rPr>
                <w:rFonts w:hint="eastAsia" w:ascii="宋体" w:hAnsi="宋体" w:cs="宋体"/>
                <w:color w:val="000000"/>
                <w:kern w:val="0"/>
                <w:sz w:val="18"/>
                <w:szCs w:val="18"/>
              </w:rPr>
              <w:t>0</w:t>
            </w:r>
            <w:r>
              <w:rPr>
                <w:rFonts w:ascii="宋体" w:hAnsi="宋体" w:cs="宋体"/>
                <w:color w:val="000000"/>
                <w:kern w:val="0"/>
                <w:sz w:val="18"/>
                <w:szCs w:val="18"/>
              </w:rPr>
              <w:t>%</w:t>
            </w:r>
          </w:p>
        </w:tc>
        <w:tc>
          <w:tcPr>
            <w:tcW w:w="363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Times New Roman"/>
                <w:color w:val="000000"/>
                <w:sz w:val="18"/>
                <w:szCs w:val="18"/>
              </w:rPr>
            </w:pPr>
            <w:r>
              <w:rPr>
                <w:rFonts w:ascii="宋体" w:hAnsi="宋体" w:cs="宋体"/>
                <w:color w:val="000000"/>
                <w:kern w:val="0"/>
                <w:sz w:val="18"/>
                <w:szCs w:val="18"/>
              </w:rPr>
              <w:t>0-100%</w:t>
            </w:r>
          </w:p>
        </w:tc>
      </w:tr>
      <w:tr>
        <w:tblPrEx>
          <w:tblCellMar>
            <w:top w:w="15" w:type="dxa"/>
            <w:left w:w="15" w:type="dxa"/>
            <w:bottom w:w="15" w:type="dxa"/>
            <w:right w:w="15" w:type="dxa"/>
          </w:tblCellMar>
        </w:tblPrEx>
        <w:trPr>
          <w:trHeight w:val="285" w:hRule="atLeast"/>
          <w:jc w:val="center"/>
        </w:trPr>
        <w:tc>
          <w:tcPr>
            <w:tcW w:w="3572"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cs="Times New Roman"/>
                <w:color w:val="000000"/>
                <w:sz w:val="18"/>
                <w:szCs w:val="18"/>
              </w:rPr>
            </w:pPr>
            <w:r>
              <w:rPr>
                <w:rFonts w:hint="eastAsia" w:ascii="宋体" w:hAnsi="宋体" w:cs="宋体"/>
                <w:color w:val="000000"/>
                <w:kern w:val="0"/>
                <w:sz w:val="18"/>
                <w:szCs w:val="18"/>
              </w:rPr>
              <w:t>债券</w:t>
            </w:r>
          </w:p>
        </w:tc>
        <w:tc>
          <w:tcPr>
            <w:tcW w:w="214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Times New Roman"/>
                <w:color w:val="000000"/>
                <w:sz w:val="18"/>
                <w:szCs w:val="18"/>
              </w:rPr>
            </w:pPr>
            <w:r>
              <w:rPr>
                <w:rFonts w:hint="eastAsia" w:ascii="宋体" w:hAnsi="宋体" w:cs="宋体"/>
                <w:color w:val="000000"/>
                <w:kern w:val="0"/>
                <w:sz w:val="18"/>
                <w:szCs w:val="18"/>
              </w:rPr>
              <w:t>3</w:t>
            </w:r>
            <w:r>
              <w:rPr>
                <w:rFonts w:ascii="宋体" w:hAnsi="宋体" w:cs="宋体"/>
                <w:color w:val="000000"/>
                <w:kern w:val="0"/>
                <w:sz w:val="18"/>
                <w:szCs w:val="18"/>
              </w:rPr>
              <w:t>%-5%</w:t>
            </w:r>
          </w:p>
        </w:tc>
        <w:tc>
          <w:tcPr>
            <w:tcW w:w="363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Times New Roman"/>
                <w:color w:val="000000"/>
                <w:sz w:val="18"/>
                <w:szCs w:val="18"/>
              </w:rPr>
            </w:pPr>
            <w:r>
              <w:rPr>
                <w:rFonts w:ascii="宋体" w:hAnsi="宋体" w:cs="宋体"/>
                <w:color w:val="000000"/>
                <w:kern w:val="0"/>
                <w:sz w:val="18"/>
                <w:szCs w:val="18"/>
              </w:rPr>
              <w:t>0-100%</w:t>
            </w:r>
          </w:p>
        </w:tc>
      </w:tr>
      <w:tr>
        <w:tblPrEx>
          <w:tblCellMar>
            <w:top w:w="15" w:type="dxa"/>
            <w:left w:w="15" w:type="dxa"/>
            <w:bottom w:w="15" w:type="dxa"/>
            <w:right w:w="15" w:type="dxa"/>
          </w:tblCellMar>
        </w:tblPrEx>
        <w:trPr>
          <w:trHeight w:val="285" w:hRule="atLeast"/>
          <w:jc w:val="center"/>
        </w:trPr>
        <w:tc>
          <w:tcPr>
            <w:tcW w:w="3572"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cs="Times New Roman"/>
                <w:color w:val="000000"/>
                <w:sz w:val="18"/>
                <w:szCs w:val="18"/>
              </w:rPr>
            </w:pPr>
            <w:r>
              <w:rPr>
                <w:rFonts w:hint="eastAsia" w:ascii="宋体" w:hAnsi="宋体" w:cs="宋体"/>
                <w:color w:val="000000"/>
                <w:kern w:val="0"/>
                <w:sz w:val="18"/>
                <w:szCs w:val="18"/>
              </w:rPr>
              <w:t>其他符合监管规定的债权类资产</w:t>
            </w:r>
          </w:p>
        </w:tc>
        <w:tc>
          <w:tcPr>
            <w:tcW w:w="214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Times New Roman"/>
                <w:color w:val="000000"/>
                <w:sz w:val="18"/>
                <w:szCs w:val="18"/>
              </w:rPr>
            </w:pPr>
            <w:r>
              <w:rPr>
                <w:rFonts w:hint="eastAsia" w:ascii="宋体" w:hAnsi="宋体" w:cs="宋体"/>
                <w:color w:val="000000"/>
                <w:kern w:val="0"/>
                <w:sz w:val="18"/>
                <w:szCs w:val="18"/>
              </w:rPr>
              <w:t>3</w:t>
            </w:r>
            <w:r>
              <w:rPr>
                <w:rFonts w:ascii="宋体" w:hAnsi="宋体" w:cs="宋体"/>
                <w:color w:val="000000"/>
                <w:kern w:val="0"/>
                <w:sz w:val="18"/>
                <w:szCs w:val="18"/>
              </w:rPr>
              <w:t>%-5.3%</w:t>
            </w:r>
          </w:p>
        </w:tc>
        <w:tc>
          <w:tcPr>
            <w:tcW w:w="363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Times New Roman"/>
                <w:color w:val="000000"/>
                <w:sz w:val="18"/>
                <w:szCs w:val="18"/>
              </w:rPr>
            </w:pPr>
            <w:r>
              <w:rPr>
                <w:rFonts w:ascii="宋体" w:hAnsi="宋体" w:cs="宋体"/>
                <w:color w:val="000000"/>
                <w:kern w:val="0"/>
                <w:sz w:val="18"/>
                <w:szCs w:val="18"/>
              </w:rPr>
              <w:t>0-100%</w:t>
            </w:r>
          </w:p>
        </w:tc>
      </w:tr>
      <w:tr>
        <w:tblPrEx>
          <w:tblCellMar>
            <w:top w:w="15" w:type="dxa"/>
            <w:left w:w="15" w:type="dxa"/>
            <w:bottom w:w="15" w:type="dxa"/>
            <w:right w:w="15" w:type="dxa"/>
          </w:tblCellMar>
        </w:tblPrEx>
        <w:trPr>
          <w:trHeight w:val="285" w:hRule="atLeast"/>
          <w:jc w:val="center"/>
        </w:trPr>
        <w:tc>
          <w:tcPr>
            <w:tcW w:w="3572" w:type="dxa"/>
            <w:tcBorders>
              <w:top w:val="single" w:color="000000" w:sz="4" w:space="0"/>
              <w:left w:val="single" w:color="000000" w:sz="4" w:space="0"/>
              <w:right w:val="single" w:color="000000" w:sz="4" w:space="0"/>
            </w:tcBorders>
            <w:vAlign w:val="center"/>
          </w:tcPr>
          <w:p>
            <w:pPr>
              <w:widowControl/>
              <w:jc w:val="left"/>
              <w:textAlignment w:val="center"/>
              <w:rPr>
                <w:rFonts w:ascii="宋体" w:cs="Times New Roman"/>
                <w:color w:val="000000"/>
                <w:sz w:val="18"/>
                <w:szCs w:val="18"/>
              </w:rPr>
            </w:pPr>
            <w:r>
              <w:rPr>
                <w:rFonts w:hint="eastAsia" w:ascii="宋体" w:hAnsi="宋体" w:cs="宋体"/>
                <w:color w:val="000000"/>
                <w:kern w:val="0"/>
                <w:sz w:val="18"/>
                <w:szCs w:val="18"/>
              </w:rPr>
              <w:t>其他符合监管规定的资管计划</w:t>
            </w:r>
          </w:p>
        </w:tc>
        <w:tc>
          <w:tcPr>
            <w:tcW w:w="2148" w:type="dxa"/>
            <w:tcBorders>
              <w:top w:val="single" w:color="000000" w:sz="4" w:space="0"/>
              <w:left w:val="single" w:color="000000" w:sz="4" w:space="0"/>
              <w:right w:val="single" w:color="000000" w:sz="4" w:space="0"/>
            </w:tcBorders>
            <w:vAlign w:val="center"/>
          </w:tcPr>
          <w:p>
            <w:pPr>
              <w:widowControl/>
              <w:jc w:val="center"/>
              <w:textAlignment w:val="center"/>
              <w:rPr>
                <w:rFonts w:ascii="宋体" w:cs="Times New Roman"/>
                <w:color w:val="000000"/>
                <w:sz w:val="18"/>
                <w:szCs w:val="18"/>
              </w:rPr>
            </w:pPr>
            <w:r>
              <w:rPr>
                <w:rFonts w:hint="eastAsia" w:ascii="宋体" w:hAnsi="宋体" w:cs="宋体"/>
                <w:color w:val="000000"/>
                <w:kern w:val="0"/>
                <w:sz w:val="18"/>
                <w:szCs w:val="18"/>
              </w:rPr>
              <w:t>3.2</w:t>
            </w:r>
            <w:r>
              <w:rPr>
                <w:rFonts w:ascii="宋体" w:hAnsi="宋体" w:cs="宋体"/>
                <w:color w:val="000000"/>
                <w:kern w:val="0"/>
                <w:sz w:val="18"/>
                <w:szCs w:val="18"/>
              </w:rPr>
              <w:t>%-5.3%</w:t>
            </w:r>
          </w:p>
        </w:tc>
        <w:tc>
          <w:tcPr>
            <w:tcW w:w="3639" w:type="dxa"/>
            <w:tcBorders>
              <w:top w:val="single" w:color="000000" w:sz="4" w:space="0"/>
              <w:left w:val="single" w:color="000000" w:sz="4" w:space="0"/>
              <w:right w:val="single" w:color="000000" w:sz="4" w:space="0"/>
            </w:tcBorders>
            <w:vAlign w:val="center"/>
          </w:tcPr>
          <w:p>
            <w:pPr>
              <w:widowControl/>
              <w:jc w:val="center"/>
              <w:textAlignment w:val="center"/>
              <w:rPr>
                <w:rFonts w:ascii="宋体" w:cs="Times New Roman"/>
                <w:color w:val="000000"/>
                <w:sz w:val="18"/>
                <w:szCs w:val="18"/>
              </w:rPr>
            </w:pPr>
            <w:r>
              <w:rPr>
                <w:rFonts w:ascii="宋体" w:hAnsi="宋体" w:cs="宋体"/>
                <w:color w:val="000000"/>
                <w:kern w:val="0"/>
                <w:sz w:val="18"/>
                <w:szCs w:val="18"/>
              </w:rPr>
              <w:t>0-100%</w:t>
            </w:r>
          </w:p>
        </w:tc>
      </w:tr>
      <w:tr>
        <w:tblPrEx>
          <w:tblCellMar>
            <w:top w:w="15" w:type="dxa"/>
            <w:left w:w="15" w:type="dxa"/>
            <w:bottom w:w="15" w:type="dxa"/>
            <w:right w:w="15" w:type="dxa"/>
          </w:tblCellMar>
        </w:tblPrEx>
        <w:trPr>
          <w:trHeight w:val="285" w:hRule="atLeast"/>
          <w:jc w:val="center"/>
        </w:trPr>
        <w:tc>
          <w:tcPr>
            <w:tcW w:w="3572"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cs="Times New Roman"/>
                <w:color w:val="000000"/>
                <w:sz w:val="18"/>
                <w:szCs w:val="18"/>
              </w:rPr>
            </w:pPr>
            <w:r>
              <w:rPr>
                <w:rFonts w:hint="eastAsia" w:ascii="宋体" w:hAnsi="宋体" w:cs="宋体"/>
                <w:color w:val="000000"/>
                <w:kern w:val="0"/>
                <w:sz w:val="18"/>
                <w:szCs w:val="18"/>
              </w:rPr>
              <w:t>历史数据投资组合模拟收益</w:t>
            </w:r>
          </w:p>
        </w:tc>
        <w:tc>
          <w:tcPr>
            <w:tcW w:w="5787"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Times New Roman"/>
                <w:color w:val="000000"/>
                <w:sz w:val="18"/>
                <w:szCs w:val="18"/>
              </w:rPr>
            </w:pPr>
            <w:r>
              <w:rPr>
                <w:rFonts w:hint="eastAsia" w:ascii="宋体" w:hAnsi="宋体" w:cs="宋体"/>
                <w:color w:val="000000"/>
                <w:kern w:val="0"/>
                <w:sz w:val="18"/>
                <w:szCs w:val="18"/>
              </w:rPr>
              <w:t>3</w:t>
            </w:r>
            <w:r>
              <w:rPr>
                <w:rFonts w:ascii="宋体" w:hAnsi="宋体" w:cs="宋体"/>
                <w:color w:val="000000"/>
                <w:kern w:val="0"/>
                <w:sz w:val="18"/>
                <w:szCs w:val="18"/>
              </w:rPr>
              <w:t>%-5.0%</w:t>
            </w:r>
          </w:p>
        </w:tc>
      </w:tr>
      <w:tr>
        <w:tblPrEx>
          <w:tblCellMar>
            <w:top w:w="15" w:type="dxa"/>
            <w:left w:w="15" w:type="dxa"/>
            <w:bottom w:w="15" w:type="dxa"/>
            <w:right w:w="15" w:type="dxa"/>
          </w:tblCellMar>
        </w:tblPrEx>
        <w:trPr>
          <w:trHeight w:val="285" w:hRule="atLeast"/>
          <w:jc w:val="center"/>
        </w:trPr>
        <w:tc>
          <w:tcPr>
            <w:tcW w:w="9359" w:type="dxa"/>
            <w:gridSpan w:val="3"/>
            <w:vAlign w:val="center"/>
          </w:tcPr>
          <w:p>
            <w:pPr>
              <w:widowControl/>
              <w:jc w:val="left"/>
              <w:textAlignment w:val="center"/>
              <w:rPr>
                <w:rFonts w:ascii="宋体" w:hAnsi="宋体" w:cs="宋体"/>
                <w:color w:val="000000"/>
                <w:kern w:val="0"/>
                <w:sz w:val="18"/>
                <w:szCs w:val="18"/>
              </w:rPr>
            </w:pPr>
            <w:r>
              <w:rPr>
                <w:rFonts w:hint="eastAsia" w:ascii="宋体" w:hAnsi="宋体" w:cs="宋体"/>
                <w:color w:val="000000"/>
                <w:kern w:val="0"/>
                <w:sz w:val="18"/>
                <w:szCs w:val="18"/>
              </w:rPr>
              <w:t>注：如投资品在上述期间无市场成交收益率或公允估值，则市场收益率以市场报价数据为准。</w:t>
            </w:r>
          </w:p>
        </w:tc>
      </w:tr>
    </w:tbl>
    <w:p>
      <w:pPr>
        <w:pStyle w:val="8"/>
        <w:spacing w:before="0" w:after="0" w:line="520" w:lineRule="exact"/>
        <w:jc w:val="both"/>
        <w:rPr>
          <w:sz w:val="28"/>
          <w:szCs w:val="28"/>
        </w:rPr>
      </w:pPr>
      <w:r>
        <w:rPr>
          <w:rFonts w:hint="eastAsia" w:cs="宋体"/>
          <w:sz w:val="28"/>
          <w:szCs w:val="28"/>
        </w:rPr>
        <w:t>六、理财产品估值</w:t>
      </w:r>
    </w:p>
    <w:p>
      <w:pPr>
        <w:spacing w:line="520" w:lineRule="exact"/>
        <w:ind w:firstLine="420" w:firstLineChars="200"/>
        <w:rPr>
          <w:rFonts w:hint="eastAsia" w:ascii="宋体" w:hAnsi="Wingdings" w:cs="宋体"/>
          <w:color w:val="000000"/>
          <w:kern w:val="0"/>
        </w:rPr>
      </w:pPr>
      <w:r>
        <w:rPr>
          <w:rFonts w:hint="eastAsia" w:ascii="宋体" w:hAnsi="Wingdings" w:cs="宋体"/>
          <w:color w:val="000000"/>
          <w:kern w:val="0"/>
        </w:rPr>
        <w:t xml:space="preserve">（一）估值日 </w:t>
      </w:r>
    </w:p>
    <w:p>
      <w:pPr>
        <w:spacing w:line="520" w:lineRule="exact"/>
        <w:ind w:firstLine="420" w:firstLineChars="200"/>
        <w:rPr>
          <w:rFonts w:hint="eastAsia" w:ascii="宋体" w:hAnsi="Wingdings" w:cs="Times New Roman"/>
          <w:color w:val="000000"/>
          <w:kern w:val="0"/>
        </w:rPr>
      </w:pPr>
      <w:r>
        <w:rPr>
          <w:rFonts w:hint="eastAsia" w:ascii="宋体" w:hAnsi="Wingdings" w:cs="宋体"/>
          <w:color w:val="000000"/>
          <w:kern w:val="0"/>
        </w:rPr>
        <w:t>本产品估值日为每个交易所工作日。</w:t>
      </w:r>
    </w:p>
    <w:p>
      <w:pPr>
        <w:spacing w:line="520" w:lineRule="exact"/>
        <w:ind w:firstLine="420" w:firstLineChars="200"/>
        <w:rPr>
          <w:rFonts w:hint="eastAsia" w:ascii="宋体" w:hAnsi="Wingdings" w:cs="Times New Roman"/>
          <w:color w:val="000000"/>
          <w:kern w:val="0"/>
        </w:rPr>
      </w:pPr>
      <w:r>
        <w:rPr>
          <w:rFonts w:hint="eastAsia" w:ascii="宋体" w:hAnsi="Wingdings" w:cs="宋体"/>
          <w:color w:val="000000"/>
          <w:kern w:val="0"/>
        </w:rPr>
        <w:t>（二）估值对象</w:t>
      </w:r>
    </w:p>
    <w:p>
      <w:pPr>
        <w:spacing w:line="520" w:lineRule="exact"/>
        <w:rPr>
          <w:rFonts w:hint="eastAsia" w:ascii="宋体" w:hAnsi="Wingdings" w:cs="Times New Roman"/>
          <w:color w:val="000000"/>
          <w:kern w:val="0"/>
        </w:rPr>
      </w:pPr>
      <w:r>
        <w:rPr>
          <w:rFonts w:hint="eastAsia" w:ascii="宋体" w:hAnsi="Wingdings" w:cs="宋体"/>
          <w:color w:val="000000"/>
          <w:kern w:val="0"/>
        </w:rPr>
        <w:t xml:space="preserve">    本理财产品所拥有的所有资产及负债。</w:t>
      </w:r>
    </w:p>
    <w:p>
      <w:pPr>
        <w:spacing w:line="520" w:lineRule="exact"/>
        <w:ind w:firstLine="420" w:firstLineChars="200"/>
        <w:rPr>
          <w:rFonts w:hint="eastAsia" w:ascii="宋体" w:hAnsi="Wingdings" w:cs="宋体"/>
          <w:color w:val="000000"/>
          <w:kern w:val="0"/>
        </w:rPr>
      </w:pPr>
      <w:r>
        <w:rPr>
          <w:rFonts w:hint="eastAsia" w:ascii="宋体" w:hAnsi="Wingdings" w:cs="宋体"/>
          <w:color w:val="000000"/>
          <w:kern w:val="0"/>
        </w:rPr>
        <w:t xml:space="preserve">（三）估值目的 </w:t>
      </w:r>
    </w:p>
    <w:p>
      <w:pPr>
        <w:spacing w:line="520" w:lineRule="exact"/>
        <w:ind w:firstLine="420" w:firstLineChars="200"/>
        <w:rPr>
          <w:rFonts w:hint="eastAsia" w:ascii="宋体" w:hAnsi="Wingdings" w:cs="宋体"/>
          <w:color w:val="000000"/>
          <w:kern w:val="0"/>
        </w:rPr>
      </w:pPr>
      <w:r>
        <w:rPr>
          <w:rFonts w:hint="eastAsia" w:ascii="宋体" w:hAnsi="Wingdings" w:cs="宋体"/>
          <w:color w:val="000000"/>
          <w:kern w:val="0"/>
        </w:rPr>
        <w:t xml:space="preserve">客观、准确反映理财产品的价值。 </w:t>
      </w:r>
    </w:p>
    <w:p>
      <w:pPr>
        <w:pStyle w:val="29"/>
        <w:spacing w:line="520" w:lineRule="exact"/>
        <w:rPr>
          <w:rFonts w:hint="eastAsia" w:ascii="宋体" w:hAnsi="Wingdings" w:cs="Times New Roman"/>
          <w:color w:val="000000"/>
          <w:kern w:val="0"/>
        </w:rPr>
      </w:pPr>
      <w:r>
        <w:rPr>
          <w:rFonts w:hint="eastAsia" w:ascii="宋体" w:hAnsi="Wingdings" w:cs="宋体"/>
          <w:color w:val="000000"/>
          <w:kern w:val="0"/>
        </w:rPr>
        <w:t>（四）估值方式</w:t>
      </w:r>
    </w:p>
    <w:p>
      <w:pPr>
        <w:pStyle w:val="29"/>
        <w:spacing w:line="520" w:lineRule="exact"/>
        <w:ind w:firstLine="0" w:firstLineChars="0"/>
        <w:rPr>
          <w:rFonts w:hint="eastAsia" w:ascii="宋体" w:hAnsi="Wingdings" w:cs="Times New Roman"/>
          <w:color w:val="000000"/>
          <w:kern w:val="0"/>
        </w:rPr>
      </w:pPr>
      <w:r>
        <w:rPr>
          <w:rFonts w:hint="eastAsia" w:ascii="宋体" w:hAnsi="Wingdings" w:cs="Times New Roman"/>
          <w:color w:val="000000"/>
          <w:kern w:val="0"/>
        </w:rPr>
        <w:t xml:space="preserve">1. </w:t>
      </w:r>
      <w:r>
        <w:rPr>
          <w:rFonts w:hint="eastAsia" w:ascii="宋体" w:cs="宋体"/>
        </w:rPr>
        <w:t>存款、债券回购、拆借及存放同业。</w:t>
      </w:r>
    </w:p>
    <w:p>
      <w:pPr>
        <w:pStyle w:val="30"/>
        <w:spacing w:line="360" w:lineRule="auto"/>
        <w:ind w:firstLine="630" w:firstLineChars="300"/>
        <w:rPr>
          <w:rFonts w:hint="eastAsia" w:ascii="宋体" w:cs="宋体"/>
        </w:rPr>
      </w:pPr>
      <w:r>
        <w:rPr>
          <w:rFonts w:hint="eastAsia" w:ascii="宋体" w:cs="宋体"/>
          <w:sz w:val="21"/>
          <w:szCs w:val="21"/>
        </w:rPr>
        <w:t>按成本估值，逐日计提利息。</w:t>
      </w:r>
    </w:p>
    <w:p>
      <w:pPr>
        <w:pStyle w:val="30"/>
        <w:numPr>
          <w:ilvl w:val="0"/>
          <w:numId w:val="3"/>
        </w:numPr>
        <w:spacing w:line="360" w:lineRule="auto"/>
        <w:rPr>
          <w:rFonts w:hint="eastAsia" w:ascii="宋体" w:cs="宋体"/>
          <w:sz w:val="21"/>
          <w:szCs w:val="21"/>
        </w:rPr>
      </w:pPr>
      <w:r>
        <w:rPr>
          <w:rFonts w:hint="eastAsia" w:ascii="宋体" w:cs="宋体"/>
          <w:sz w:val="21"/>
          <w:szCs w:val="21"/>
        </w:rPr>
        <w:t>债券、票据、资产支持证券等固定收益类资产。</w:t>
      </w:r>
    </w:p>
    <w:p>
      <w:pPr>
        <w:pStyle w:val="30"/>
        <w:numPr>
          <w:ilvl w:val="0"/>
          <w:numId w:val="4"/>
        </w:numPr>
        <w:spacing w:line="360" w:lineRule="auto"/>
        <w:rPr>
          <w:rFonts w:hint="eastAsia" w:ascii="宋体" w:cs="宋体"/>
        </w:rPr>
      </w:pPr>
      <w:r>
        <w:rPr>
          <w:rFonts w:ascii="宋体" w:cs="宋体"/>
          <w:sz w:val="21"/>
          <w:szCs w:val="21"/>
        </w:rPr>
        <w:t>以持有到期为目的持有的债券</w:t>
      </w:r>
      <w:r>
        <w:rPr>
          <w:rFonts w:hint="eastAsia" w:ascii="宋体" w:cs="宋体"/>
          <w:sz w:val="21"/>
          <w:szCs w:val="21"/>
        </w:rPr>
        <w:t>按摊余成本法估值；</w:t>
      </w:r>
    </w:p>
    <w:p>
      <w:pPr>
        <w:pStyle w:val="30"/>
        <w:spacing w:line="360" w:lineRule="auto"/>
        <w:rPr>
          <w:rFonts w:hint="eastAsia" w:ascii="宋体" w:cs="宋体"/>
        </w:rPr>
      </w:pPr>
      <w:r>
        <w:rPr>
          <w:rFonts w:hint="eastAsia" w:ascii="宋体" w:cs="宋体"/>
          <w:sz w:val="21"/>
          <w:szCs w:val="21"/>
        </w:rPr>
        <w:t xml:space="preserve">（2）  </w:t>
      </w:r>
      <w:r>
        <w:rPr>
          <w:rFonts w:ascii="宋体" w:cs="宋体"/>
          <w:sz w:val="21"/>
          <w:szCs w:val="21"/>
        </w:rPr>
        <w:t>以交易为目的持有的债券按市价法估值。</w:t>
      </w:r>
    </w:p>
    <w:p>
      <w:pPr>
        <w:pStyle w:val="30"/>
        <w:spacing w:line="360" w:lineRule="auto"/>
        <w:rPr>
          <w:rFonts w:hint="eastAsia" w:ascii="宋体" w:cs="宋体"/>
          <w:sz w:val="21"/>
          <w:szCs w:val="21"/>
        </w:rPr>
      </w:pPr>
      <w:r>
        <w:rPr>
          <w:rFonts w:hint="eastAsia" w:ascii="宋体" w:cs="宋体"/>
          <w:sz w:val="21"/>
          <w:szCs w:val="21"/>
        </w:rPr>
        <w:t>3.  基金、信托计划、资产管理计划等资产。</w:t>
      </w:r>
    </w:p>
    <w:p>
      <w:pPr>
        <w:pStyle w:val="30"/>
        <w:spacing w:line="360" w:lineRule="auto"/>
        <w:rPr>
          <w:rFonts w:hint="eastAsia" w:ascii="宋体" w:cs="宋体"/>
        </w:rPr>
      </w:pPr>
      <w:r>
        <w:rPr>
          <w:rFonts w:hint="eastAsia" w:ascii="宋体" w:cs="宋体"/>
          <w:sz w:val="21"/>
          <w:szCs w:val="21"/>
        </w:rPr>
        <w:t>（1） 若合同约定估值方案，以基金、信托计划、资产管理计划的管理人提供的最新报价估值。报价包括资产的单位净值、每万份收益以及其他形式的投资收益。</w:t>
      </w:r>
    </w:p>
    <w:p>
      <w:pPr>
        <w:pStyle w:val="30"/>
        <w:spacing w:line="360" w:lineRule="auto"/>
        <w:rPr>
          <w:rFonts w:hint="eastAsia" w:ascii="宋体" w:cs="宋体"/>
        </w:rPr>
      </w:pPr>
      <w:r>
        <w:rPr>
          <w:rFonts w:hint="eastAsia" w:ascii="宋体" w:cs="宋体"/>
          <w:sz w:val="21"/>
          <w:szCs w:val="21"/>
        </w:rPr>
        <w:t>（2） 如合同未约定估值方案，但有确定的预期收益率的，则按成本法估值，定期计提预期收益。如该类资产存续期间发生影响资产未来现金流的重大事件的，经管理人合理判断对资产价值进行重估。</w:t>
      </w:r>
    </w:p>
    <w:p>
      <w:pPr>
        <w:pStyle w:val="30"/>
        <w:numPr>
          <w:ilvl w:val="0"/>
          <w:numId w:val="5"/>
        </w:numPr>
        <w:spacing w:line="360" w:lineRule="auto"/>
        <w:rPr>
          <w:rFonts w:hint="eastAsia" w:ascii="宋体" w:cs="宋体"/>
          <w:sz w:val="21"/>
          <w:szCs w:val="21"/>
        </w:rPr>
      </w:pPr>
      <w:r>
        <w:rPr>
          <w:rFonts w:hint="eastAsia" w:ascii="宋体" w:cs="宋体"/>
          <w:sz w:val="21"/>
          <w:szCs w:val="21"/>
        </w:rPr>
        <w:t>在证券交易所上市的股票。</w:t>
      </w:r>
    </w:p>
    <w:p>
      <w:pPr>
        <w:pStyle w:val="30"/>
        <w:spacing w:line="360" w:lineRule="auto"/>
        <w:ind w:firstLine="420" w:firstLineChars="200"/>
        <w:rPr>
          <w:rFonts w:hint="eastAsia" w:ascii="宋体" w:cs="宋体"/>
          <w:sz w:val="21"/>
          <w:szCs w:val="21"/>
        </w:rPr>
      </w:pPr>
      <w:r>
        <w:rPr>
          <w:rFonts w:hint="eastAsia" w:ascii="宋体" w:cs="宋体"/>
          <w:sz w:val="21"/>
          <w:szCs w:val="21"/>
        </w:rPr>
        <w:t>以其估值日在证券交易所挂牌的市价（收盘价）估值；估值日无交易的，最近交易日后经济环境未发生重大变化且证券发行机构未发生影响证券价格的重大事件的，以最近交易日的市价（收盘价）估值；最近交易日后经济环境发生了重大变化或证券发行机构发生影响证券价格的重大事件的，参考类似投资品种的现行市价及重大变化因素调整最近交易市价；对于长期停牌股票，按行业通行的估值方法处理。</w:t>
      </w:r>
    </w:p>
    <w:p>
      <w:pPr>
        <w:pStyle w:val="30"/>
        <w:numPr>
          <w:ilvl w:val="0"/>
          <w:numId w:val="5"/>
        </w:numPr>
        <w:spacing w:line="360" w:lineRule="auto"/>
        <w:rPr>
          <w:rFonts w:hint="eastAsia" w:ascii="宋体" w:cs="宋体"/>
          <w:sz w:val="21"/>
          <w:szCs w:val="21"/>
        </w:rPr>
      </w:pPr>
      <w:r>
        <w:rPr>
          <w:rFonts w:hint="eastAsia" w:ascii="宋体" w:cs="宋体"/>
          <w:sz w:val="21"/>
          <w:szCs w:val="21"/>
        </w:rPr>
        <w:t>期货、互换、期权、权证等衍生金融工具。</w:t>
      </w:r>
    </w:p>
    <w:p>
      <w:pPr>
        <w:pStyle w:val="30"/>
        <w:spacing w:line="360" w:lineRule="auto"/>
        <w:ind w:firstLine="420" w:firstLineChars="200"/>
        <w:rPr>
          <w:rFonts w:hint="eastAsia" w:ascii="宋体" w:cs="宋体"/>
        </w:rPr>
      </w:pPr>
      <w:r>
        <w:rPr>
          <w:rFonts w:hint="eastAsia" w:ascii="宋体" w:cs="宋体"/>
          <w:sz w:val="21"/>
          <w:szCs w:val="21"/>
        </w:rPr>
        <w:t>场内交易以交易所最近交易日结算价或收盘价进行估值，场外交易按照第三方机构（上海清算所等）提供的估值数据、或管理人认可的模型估值和参数处理模式进行估值。</w:t>
      </w:r>
    </w:p>
    <w:p>
      <w:pPr>
        <w:pStyle w:val="30"/>
        <w:numPr>
          <w:ilvl w:val="0"/>
          <w:numId w:val="5"/>
        </w:numPr>
        <w:spacing w:line="360" w:lineRule="auto"/>
        <w:rPr>
          <w:rFonts w:hint="eastAsia" w:ascii="宋体" w:cs="宋体"/>
          <w:sz w:val="21"/>
          <w:szCs w:val="21"/>
        </w:rPr>
      </w:pPr>
      <w:r>
        <w:rPr>
          <w:rFonts w:hint="eastAsia" w:ascii="宋体" w:cs="宋体"/>
          <w:sz w:val="21"/>
          <w:szCs w:val="21"/>
        </w:rPr>
        <w:t>其他资产的估值方法。</w:t>
      </w:r>
    </w:p>
    <w:p>
      <w:pPr>
        <w:pStyle w:val="30"/>
        <w:spacing w:line="360" w:lineRule="auto"/>
        <w:ind w:firstLine="420" w:firstLineChars="200"/>
        <w:rPr>
          <w:rFonts w:hint="eastAsia" w:ascii="宋体" w:cs="宋体"/>
        </w:rPr>
      </w:pPr>
      <w:r>
        <w:rPr>
          <w:rFonts w:hint="eastAsia" w:ascii="宋体" w:cs="宋体"/>
          <w:sz w:val="21"/>
          <w:szCs w:val="21"/>
        </w:rPr>
        <w:t>其他资产存在公允价值的，按照公允价值估值，公允价值不能确定的按取得时的成本用成本法进行估值。国家有最新规定的按其规定进行估值。</w:t>
      </w:r>
    </w:p>
    <w:p>
      <w:pPr>
        <w:pStyle w:val="30"/>
        <w:spacing w:line="360" w:lineRule="auto"/>
        <w:ind w:firstLine="420" w:firstLineChars="200"/>
        <w:rPr>
          <w:rFonts w:hint="eastAsia" w:ascii="宋体" w:cs="宋体"/>
          <w:sz w:val="21"/>
          <w:szCs w:val="21"/>
        </w:rPr>
      </w:pPr>
      <w:r>
        <w:rPr>
          <w:rFonts w:hint="eastAsia" w:ascii="宋体" w:cs="宋体"/>
          <w:sz w:val="21"/>
          <w:szCs w:val="21"/>
        </w:rPr>
        <w:t>当理财产品管理人或托管人认为按上述方法对理财产品进行估值不能客观反映其公允价值的，可以在协商一致后变更估值方法，并自协商一致日后执行。如在本产品发行、募集、管理期间，有权管理机关对财务报告准则、估值核算方法标准进行调整，管理人有权根据相关机关要求对本产品的估值方法进行相应修改。</w:t>
      </w:r>
    </w:p>
    <w:p>
      <w:pPr>
        <w:rPr>
          <w:rFonts w:ascii="宋体" w:hAnsi="宋体" w:cs="宋体"/>
          <w:kern w:val="0"/>
        </w:rPr>
      </w:pPr>
      <w:r>
        <w:rPr>
          <w:rFonts w:hint="eastAsia" w:ascii="宋体" w:hAnsi="宋体" w:cs="宋体"/>
          <w:kern w:val="0"/>
        </w:rPr>
        <w:t xml:space="preserve">   （五）估值差错处理</w:t>
      </w:r>
    </w:p>
    <w:p>
      <w:pPr>
        <w:pStyle w:val="30"/>
        <w:spacing w:line="360" w:lineRule="auto"/>
        <w:ind w:firstLine="420" w:firstLineChars="200"/>
        <w:rPr>
          <w:rFonts w:hint="eastAsia" w:ascii="宋体" w:cs="宋体"/>
        </w:rPr>
      </w:pPr>
      <w:r>
        <w:rPr>
          <w:rFonts w:hint="eastAsia" w:ascii="宋体" w:cs="宋体"/>
          <w:sz w:val="21"/>
          <w:szCs w:val="21"/>
        </w:rPr>
        <w:t>如理财管理人或理财托管人发现资产估值违反本说明书约定的估值方法、程序及相关法律法规的规定或者未能充分维护理财委托人利益时，应立即通知对方，共同查明原因，协商解决，如经相关各方在平等基础上充分讨论后，仍无法达成一致意见，以理财管理人意见为准。当委托财产估值提交委托人后发现存在错误时，理财管理人和理财托管人应该立即报告理财委托人并及时更正。</w:t>
      </w:r>
    </w:p>
    <w:p>
      <w:pPr>
        <w:ind w:firstLine="283" w:firstLineChars="135"/>
        <w:rPr>
          <w:rFonts w:ascii="宋体" w:hAnsi="宋体" w:cs="宋体"/>
          <w:kern w:val="0"/>
        </w:rPr>
      </w:pPr>
      <w:r>
        <w:rPr>
          <w:rFonts w:ascii="宋体" w:hAnsi="宋体" w:cs="宋体"/>
          <w:kern w:val="0"/>
        </w:rPr>
        <w:t>（六）资产账册的建立</w:t>
      </w:r>
    </w:p>
    <w:p>
      <w:pPr>
        <w:pStyle w:val="30"/>
        <w:spacing w:line="360" w:lineRule="auto"/>
        <w:ind w:firstLine="420" w:firstLineChars="200"/>
        <w:rPr>
          <w:rFonts w:hint="eastAsia" w:ascii="宋体" w:cs="宋体"/>
          <w:sz w:val="21"/>
          <w:szCs w:val="21"/>
        </w:rPr>
      </w:pPr>
      <w:r>
        <w:rPr>
          <w:rFonts w:hint="eastAsia" w:ascii="宋体" w:cs="宋体"/>
          <w:sz w:val="21"/>
          <w:szCs w:val="21"/>
        </w:rPr>
        <w:t>理财管理人和理财托管人在本合同生效后，应按照相关各方约定的同一记账方法和会计处理原则，分别独立设置、保管理财计划财产的全套账册，对相关各方各自的账册定期进行核对，互相监督，以保证委托财产的安全。若双方对会计处理方法存在分歧，应以理财管理人的处理方法为准。</w:t>
      </w:r>
    </w:p>
    <w:p>
      <w:pPr>
        <w:pStyle w:val="8"/>
        <w:spacing w:before="0" w:after="0" w:line="520" w:lineRule="exact"/>
        <w:jc w:val="both"/>
        <w:rPr>
          <w:sz w:val="28"/>
          <w:szCs w:val="28"/>
        </w:rPr>
      </w:pPr>
      <w:r>
        <w:rPr>
          <w:rFonts w:hint="eastAsia" w:cs="宋体"/>
          <w:sz w:val="28"/>
          <w:szCs w:val="28"/>
        </w:rPr>
        <w:t>七、理财计划收益和相关费用</w:t>
      </w:r>
    </w:p>
    <w:p>
      <w:pPr>
        <w:spacing w:line="520" w:lineRule="exact"/>
        <w:ind w:firstLine="420" w:firstLineChars="200"/>
        <w:rPr>
          <w:rFonts w:ascii="宋体" w:cs="Times New Roman"/>
          <w:kern w:val="0"/>
        </w:rPr>
      </w:pPr>
      <w:r>
        <w:rPr>
          <w:rFonts w:hint="eastAsia" w:ascii="宋体" w:hAnsi="宋体" w:cs="宋体"/>
          <w:kern w:val="0"/>
        </w:rPr>
        <w:t>（一）收益计算公式</w:t>
      </w:r>
    </w:p>
    <w:p>
      <w:pPr>
        <w:spacing w:line="520" w:lineRule="exact"/>
        <w:ind w:firstLine="422" w:firstLineChars="200"/>
        <w:rPr>
          <w:rFonts w:ascii="宋体" w:cs="Times New Roman"/>
          <w:b/>
          <w:kern w:val="0"/>
        </w:rPr>
      </w:pPr>
      <w:r>
        <w:rPr>
          <w:rFonts w:hint="eastAsia" w:ascii="宋体" w:hAnsi="宋体" w:cs="宋体"/>
          <w:b/>
          <w:kern w:val="0"/>
        </w:rPr>
        <w:t>投资者理财收益＝赎回确认时的单位净值×赎回确认时份额+持有期分红收益</w:t>
      </w:r>
      <w:r>
        <w:rPr>
          <w:rFonts w:ascii="宋体" w:cs="宋体"/>
          <w:b/>
          <w:kern w:val="0"/>
        </w:rPr>
        <w:t>-</w:t>
      </w:r>
      <w:r>
        <w:rPr>
          <w:rFonts w:hint="eastAsia" w:ascii="宋体" w:hAnsi="宋体" w:cs="宋体"/>
          <w:b/>
          <w:kern w:val="0"/>
        </w:rPr>
        <w:t>投资本金。</w:t>
      </w:r>
    </w:p>
    <w:p>
      <w:pPr>
        <w:spacing w:line="520" w:lineRule="exact"/>
        <w:ind w:firstLine="420" w:firstLineChars="200"/>
        <w:rPr>
          <w:rFonts w:ascii="宋体" w:cs="Times New Roman"/>
          <w:kern w:val="0"/>
        </w:rPr>
      </w:pPr>
      <w:r>
        <w:rPr>
          <w:rFonts w:hint="eastAsia" w:ascii="宋体" w:hAnsi="宋体" w:cs="宋体"/>
          <w:kern w:val="0"/>
        </w:rPr>
        <w:t>确认日确认的单位净值为确认日确认的提取增值税和各相关费用后的理财产品单位份额净值。</w:t>
      </w:r>
    </w:p>
    <w:p>
      <w:pPr>
        <w:pStyle w:val="34"/>
        <w:numPr>
          <w:ilvl w:val="0"/>
          <w:numId w:val="6"/>
        </w:numPr>
        <w:spacing w:line="520" w:lineRule="exact"/>
        <w:ind w:firstLineChars="0"/>
        <w:rPr>
          <w:rFonts w:ascii="宋体" w:hAnsi="宋体" w:cs="宋体"/>
          <w:kern w:val="0"/>
        </w:rPr>
      </w:pPr>
      <w:r>
        <w:rPr>
          <w:rFonts w:hint="eastAsia" w:ascii="宋体" w:hAnsi="宋体" w:cs="宋体"/>
          <w:kern w:val="0"/>
        </w:rPr>
        <w:t>本理财计划的各相关费用</w:t>
      </w:r>
    </w:p>
    <w:p>
      <w:pPr>
        <w:widowControl/>
        <w:numPr>
          <w:ilvl w:val="0"/>
          <w:numId w:val="7"/>
        </w:numPr>
        <w:spacing w:line="300" w:lineRule="auto"/>
        <w:contextualSpacing/>
        <w:outlineLvl w:val="0"/>
        <w:rPr>
          <w:rFonts w:ascii="宋体" w:hAnsi="宋体"/>
          <w:color w:val="000000"/>
        </w:rPr>
      </w:pPr>
      <w:r>
        <w:rPr>
          <w:rFonts w:hint="eastAsia" w:ascii="宋体" w:hAnsi="宋体"/>
          <w:color w:val="000000"/>
        </w:rPr>
        <w:t>销售手续费</w:t>
      </w:r>
    </w:p>
    <w:p>
      <w:pPr>
        <w:widowControl/>
        <w:spacing w:line="300" w:lineRule="auto"/>
        <w:contextualSpacing/>
        <w:outlineLvl w:val="0"/>
        <w:rPr>
          <w:rFonts w:ascii="宋体" w:hAnsi="宋体"/>
          <w:color w:val="000000"/>
        </w:rPr>
      </w:pPr>
      <w:r>
        <w:rPr>
          <w:rFonts w:hint="eastAsia" w:ascii="宋体" w:hAnsi="宋体"/>
          <w:color w:val="000000"/>
        </w:rPr>
        <w:t xml:space="preserve">    理财计划财产的年化销售手续费率为0</w:t>
      </w:r>
      <w:r>
        <w:rPr>
          <w:rFonts w:hint="eastAsia" w:ascii="宋体" w:hAnsi="宋体"/>
          <w:color w:val="000000"/>
          <w:lang w:val="en-US" w:eastAsia="zh-CN"/>
        </w:rPr>
        <w:t>.2</w:t>
      </w:r>
      <w:r>
        <w:rPr>
          <w:rFonts w:hint="eastAsia" w:ascii="宋体" w:hAnsi="宋体"/>
          <w:color w:val="000000"/>
        </w:rPr>
        <w:t>%，计算方法如下：</w:t>
      </w:r>
    </w:p>
    <w:p>
      <w:pPr>
        <w:widowControl/>
        <w:spacing w:line="300" w:lineRule="auto"/>
        <w:contextualSpacing/>
        <w:outlineLvl w:val="0"/>
        <w:rPr>
          <w:rFonts w:ascii="宋体" w:hAnsi="宋体"/>
          <w:color w:val="000000"/>
        </w:rPr>
      </w:pPr>
      <w:r>
        <w:rPr>
          <w:rFonts w:hint="eastAsia" w:ascii="宋体" w:hAnsi="宋体"/>
          <w:color w:val="000000"/>
        </w:rPr>
        <w:t xml:space="preserve">    H＝E*0</w:t>
      </w:r>
      <w:r>
        <w:rPr>
          <w:rFonts w:hint="eastAsia" w:ascii="宋体" w:hAnsi="宋体"/>
          <w:color w:val="000000"/>
          <w:lang w:val="en-US" w:eastAsia="zh-CN"/>
        </w:rPr>
        <w:t>.2</w:t>
      </w:r>
      <w:r>
        <w:rPr>
          <w:rFonts w:hint="eastAsia" w:ascii="宋体" w:hAnsi="宋体"/>
          <w:color w:val="000000"/>
        </w:rPr>
        <w:t>％/365</w:t>
      </w:r>
    </w:p>
    <w:p>
      <w:pPr>
        <w:widowControl/>
        <w:spacing w:line="300" w:lineRule="auto"/>
        <w:contextualSpacing/>
        <w:outlineLvl w:val="0"/>
        <w:rPr>
          <w:rFonts w:ascii="宋体" w:hAnsi="宋体"/>
          <w:color w:val="000000"/>
        </w:rPr>
      </w:pPr>
      <w:r>
        <w:rPr>
          <w:rFonts w:hint="eastAsia" w:ascii="宋体" w:hAnsi="宋体"/>
          <w:color w:val="000000"/>
        </w:rPr>
        <w:t xml:space="preserve">    H为每日应计提的销售手续费</w:t>
      </w:r>
    </w:p>
    <w:p>
      <w:pPr>
        <w:widowControl/>
        <w:spacing w:line="300" w:lineRule="auto"/>
        <w:contextualSpacing/>
        <w:outlineLvl w:val="0"/>
        <w:rPr>
          <w:rFonts w:ascii="宋体" w:hAnsi="宋体"/>
          <w:color w:val="000000"/>
        </w:rPr>
      </w:pPr>
      <w:r>
        <w:rPr>
          <w:rFonts w:hint="eastAsia" w:ascii="宋体" w:hAnsi="宋体"/>
          <w:color w:val="000000"/>
        </w:rPr>
        <w:t xml:space="preserve">    E为本产品前一日资产净值</w:t>
      </w:r>
    </w:p>
    <w:p>
      <w:pPr>
        <w:widowControl/>
        <w:spacing w:line="300" w:lineRule="auto"/>
        <w:ind w:left="400"/>
        <w:contextualSpacing/>
        <w:outlineLvl w:val="0"/>
        <w:rPr>
          <w:rFonts w:ascii="宋体" w:hAnsi="宋体"/>
          <w:color w:val="000000"/>
        </w:rPr>
      </w:pPr>
      <w:r>
        <w:rPr>
          <w:rFonts w:hint="eastAsia" w:ascii="宋体" w:hAnsi="宋体"/>
          <w:color w:val="000000"/>
        </w:rPr>
        <w:t>销售手续费原则上按日计提，</w:t>
      </w:r>
      <w:r>
        <w:rPr>
          <w:rFonts w:hint="eastAsia" w:ascii="宋体" w:hAnsi="宋体" w:cs="宋体"/>
          <w:kern w:val="0"/>
        </w:rPr>
        <w:t>于每个投资周期结束后收取。</w:t>
      </w:r>
    </w:p>
    <w:p>
      <w:pPr>
        <w:widowControl/>
        <w:numPr>
          <w:ilvl w:val="0"/>
          <w:numId w:val="7"/>
        </w:numPr>
        <w:spacing w:line="300" w:lineRule="auto"/>
        <w:contextualSpacing/>
        <w:outlineLvl w:val="0"/>
        <w:rPr>
          <w:rFonts w:ascii="宋体" w:hAnsi="宋体"/>
          <w:color w:val="000000"/>
        </w:rPr>
      </w:pPr>
      <w:r>
        <w:rPr>
          <w:rFonts w:hint="eastAsia" w:ascii="宋体" w:hAnsi="宋体"/>
          <w:color w:val="000000"/>
        </w:rPr>
        <w:t>理财托管人的托管费</w:t>
      </w:r>
    </w:p>
    <w:p>
      <w:pPr>
        <w:widowControl/>
        <w:spacing w:line="300" w:lineRule="auto"/>
        <w:contextualSpacing/>
        <w:outlineLvl w:val="0"/>
        <w:rPr>
          <w:rFonts w:ascii="宋体" w:hAnsi="宋体"/>
          <w:color w:val="000000"/>
        </w:rPr>
      </w:pPr>
      <w:r>
        <w:rPr>
          <w:rFonts w:hint="eastAsia" w:ascii="宋体" w:hAnsi="宋体"/>
          <w:color w:val="000000"/>
        </w:rPr>
        <w:t xml:space="preserve">    理财计划财产的年化托管费为0.025%，计算方法如下：</w:t>
      </w:r>
    </w:p>
    <w:p>
      <w:pPr>
        <w:widowControl/>
        <w:spacing w:line="300" w:lineRule="auto"/>
        <w:contextualSpacing/>
        <w:outlineLvl w:val="0"/>
        <w:rPr>
          <w:rFonts w:ascii="宋体" w:hAnsi="宋体"/>
          <w:color w:val="000000"/>
        </w:rPr>
      </w:pPr>
      <w:r>
        <w:rPr>
          <w:rFonts w:hint="eastAsia" w:ascii="宋体" w:hAnsi="宋体"/>
          <w:color w:val="000000"/>
        </w:rPr>
        <w:t xml:space="preserve">    H＝E*0.025％/365</w:t>
      </w:r>
    </w:p>
    <w:p>
      <w:pPr>
        <w:widowControl/>
        <w:spacing w:line="300" w:lineRule="auto"/>
        <w:contextualSpacing/>
        <w:outlineLvl w:val="0"/>
        <w:rPr>
          <w:rFonts w:ascii="宋体" w:hAnsi="宋体"/>
          <w:color w:val="000000"/>
        </w:rPr>
      </w:pPr>
      <w:r>
        <w:rPr>
          <w:rFonts w:hint="eastAsia" w:ascii="宋体" w:hAnsi="宋体"/>
          <w:color w:val="000000"/>
        </w:rPr>
        <w:t xml:space="preserve">    H为每日应计提的托管费</w:t>
      </w:r>
    </w:p>
    <w:p>
      <w:pPr>
        <w:widowControl/>
        <w:spacing w:line="300" w:lineRule="auto"/>
        <w:ind w:firstLine="420"/>
        <w:contextualSpacing/>
        <w:outlineLvl w:val="0"/>
        <w:rPr>
          <w:rFonts w:ascii="宋体" w:hAnsi="宋体"/>
          <w:color w:val="000000"/>
        </w:rPr>
      </w:pPr>
      <w:r>
        <w:rPr>
          <w:rFonts w:hint="eastAsia" w:ascii="宋体" w:hAnsi="宋体"/>
          <w:color w:val="000000"/>
        </w:rPr>
        <w:t>E为本产品存续总份额</w:t>
      </w:r>
    </w:p>
    <w:p>
      <w:pPr>
        <w:widowControl/>
        <w:spacing w:line="300" w:lineRule="auto"/>
        <w:ind w:firstLine="420"/>
        <w:contextualSpacing/>
        <w:outlineLvl w:val="0"/>
        <w:rPr>
          <w:rFonts w:ascii="宋体" w:hAnsi="宋体"/>
          <w:color w:val="000000"/>
        </w:rPr>
      </w:pPr>
      <w:r>
        <w:rPr>
          <w:rFonts w:hint="eastAsia" w:ascii="宋体" w:hAnsi="宋体"/>
          <w:color w:val="000000"/>
        </w:rPr>
        <w:t>托管费原则上按日计提，</w:t>
      </w:r>
      <w:r>
        <w:rPr>
          <w:rFonts w:hint="eastAsia" w:ascii="宋体" w:hAnsi="宋体" w:cs="宋体"/>
          <w:kern w:val="0"/>
        </w:rPr>
        <w:t>于每个投资周期结束后收取。</w:t>
      </w:r>
    </w:p>
    <w:p>
      <w:pPr>
        <w:widowControl/>
        <w:numPr>
          <w:ilvl w:val="0"/>
          <w:numId w:val="7"/>
        </w:numPr>
        <w:spacing w:line="300" w:lineRule="auto"/>
        <w:contextualSpacing/>
        <w:outlineLvl w:val="0"/>
        <w:rPr>
          <w:rFonts w:ascii="宋体" w:hAnsi="宋体"/>
          <w:color w:val="000000"/>
        </w:rPr>
      </w:pPr>
      <w:r>
        <w:rPr>
          <w:rFonts w:hint="eastAsia" w:ascii="宋体" w:hAnsi="宋体"/>
          <w:color w:val="000000"/>
        </w:rPr>
        <w:t>理财管理人的固定管理费</w:t>
      </w:r>
    </w:p>
    <w:p>
      <w:pPr>
        <w:widowControl/>
        <w:spacing w:line="300" w:lineRule="auto"/>
        <w:contextualSpacing/>
        <w:outlineLvl w:val="0"/>
        <w:rPr>
          <w:rFonts w:ascii="宋体" w:hAnsi="宋体"/>
          <w:color w:val="000000"/>
        </w:rPr>
      </w:pPr>
      <w:r>
        <w:rPr>
          <w:rFonts w:hint="eastAsia" w:ascii="宋体" w:hAnsi="宋体"/>
          <w:color w:val="000000"/>
        </w:rPr>
        <w:t xml:space="preserve">    理财计划财产的年化固定管理费率为0.4%，计算方法如下：</w:t>
      </w:r>
    </w:p>
    <w:p>
      <w:pPr>
        <w:widowControl/>
        <w:spacing w:line="300" w:lineRule="auto"/>
        <w:contextualSpacing/>
        <w:outlineLvl w:val="0"/>
        <w:rPr>
          <w:rFonts w:ascii="宋体" w:hAnsi="宋体"/>
          <w:color w:val="000000"/>
        </w:rPr>
      </w:pPr>
      <w:r>
        <w:rPr>
          <w:rFonts w:hint="eastAsia" w:ascii="宋体" w:hAnsi="宋体"/>
          <w:color w:val="000000"/>
        </w:rPr>
        <w:t xml:space="preserve">    H＝E*0.4％/365</w:t>
      </w:r>
    </w:p>
    <w:p>
      <w:pPr>
        <w:widowControl/>
        <w:spacing w:line="300" w:lineRule="auto"/>
        <w:contextualSpacing/>
        <w:outlineLvl w:val="0"/>
        <w:rPr>
          <w:rFonts w:ascii="宋体" w:hAnsi="宋体"/>
          <w:color w:val="000000"/>
        </w:rPr>
      </w:pPr>
      <w:r>
        <w:rPr>
          <w:rFonts w:hint="eastAsia" w:ascii="宋体" w:hAnsi="宋体"/>
          <w:color w:val="000000"/>
        </w:rPr>
        <w:t xml:space="preserve">    H为每日应计提的管理费</w:t>
      </w:r>
    </w:p>
    <w:p>
      <w:pPr>
        <w:widowControl/>
        <w:spacing w:line="300" w:lineRule="auto"/>
        <w:ind w:firstLine="315" w:firstLineChars="150"/>
        <w:contextualSpacing/>
        <w:outlineLvl w:val="0"/>
        <w:rPr>
          <w:rFonts w:ascii="宋体" w:hAnsi="宋体"/>
          <w:color w:val="000000"/>
        </w:rPr>
      </w:pPr>
      <w:r>
        <w:rPr>
          <w:rFonts w:hint="eastAsia" w:ascii="宋体" w:hAnsi="宋体"/>
          <w:color w:val="000000"/>
        </w:rPr>
        <w:t xml:space="preserve"> E为本产品存续总份额</w:t>
      </w:r>
    </w:p>
    <w:p>
      <w:pPr>
        <w:widowControl/>
        <w:spacing w:line="300" w:lineRule="auto"/>
        <w:contextualSpacing/>
        <w:outlineLvl w:val="0"/>
        <w:rPr>
          <w:rFonts w:ascii="宋体" w:hAnsi="宋体"/>
          <w:color w:val="000000"/>
        </w:rPr>
      </w:pPr>
      <w:r>
        <w:rPr>
          <w:rFonts w:hint="eastAsia" w:ascii="宋体" w:hAnsi="宋体"/>
          <w:color w:val="000000"/>
        </w:rPr>
        <w:t xml:space="preserve">    固定管理费原则上按日计提，</w:t>
      </w:r>
      <w:r>
        <w:rPr>
          <w:rFonts w:hint="eastAsia" w:ascii="宋体" w:hAnsi="宋体" w:cs="宋体"/>
          <w:kern w:val="0"/>
        </w:rPr>
        <w:t>于每个投资周期结束后收取。</w:t>
      </w:r>
    </w:p>
    <w:p>
      <w:pPr>
        <w:widowControl/>
        <w:numPr>
          <w:ilvl w:val="0"/>
          <w:numId w:val="7"/>
        </w:numPr>
        <w:spacing w:line="300" w:lineRule="auto"/>
        <w:contextualSpacing/>
        <w:outlineLvl w:val="0"/>
        <w:rPr>
          <w:rFonts w:ascii="宋体" w:hAnsi="宋体"/>
          <w:color w:val="000000"/>
        </w:rPr>
      </w:pPr>
      <w:r>
        <w:rPr>
          <w:rFonts w:hint="eastAsia" w:ascii="宋体" w:hAnsi="宋体"/>
          <w:color w:val="000000"/>
        </w:rPr>
        <w:t>浮动管理费</w:t>
      </w:r>
    </w:p>
    <w:p>
      <w:pPr>
        <w:widowControl/>
        <w:spacing w:line="300" w:lineRule="auto"/>
        <w:ind w:left="400"/>
        <w:contextualSpacing/>
        <w:outlineLvl w:val="0"/>
        <w:rPr>
          <w:rFonts w:ascii="宋体" w:hAnsi="宋体"/>
          <w:color w:val="000000"/>
        </w:rPr>
      </w:pPr>
      <w:r>
        <w:rPr>
          <w:rFonts w:hint="eastAsia" w:ascii="宋体" w:hAnsi="宋体"/>
          <w:color w:val="000000"/>
        </w:rPr>
        <w:t>理财管理人根据理财计划投资情况计算浮动管理费，本理财产品投资周期年化收益率超过业绩比较基准的部分管理人提取</w:t>
      </w:r>
      <w:r>
        <w:rPr>
          <w:rFonts w:hint="eastAsia" w:ascii="宋体" w:hAnsi="宋体"/>
          <w:color w:val="000000"/>
          <w:lang w:val="en-US" w:eastAsia="zh-CN"/>
        </w:rPr>
        <w:t>5</w:t>
      </w:r>
      <w:r>
        <w:rPr>
          <w:rFonts w:ascii="宋体" w:hAnsi="宋体"/>
          <w:color w:val="000000"/>
        </w:rPr>
        <w:t>0%作为浮动管理费，每个开放期结束后收取；本理财产品投资周期年化收益率若小于或等于业绩比较基准则不收取浮动管理费。具体计算方法如下：</w:t>
      </w:r>
    </w:p>
    <w:p>
      <w:pPr>
        <w:widowControl/>
        <w:spacing w:line="300" w:lineRule="auto"/>
        <w:contextualSpacing/>
        <w:outlineLvl w:val="0"/>
        <w:rPr>
          <w:rFonts w:ascii="宋体" w:hAnsi="宋体"/>
          <w:color w:val="000000"/>
        </w:rPr>
      </w:pPr>
      <w:r>
        <w:rPr>
          <w:rFonts w:ascii="宋体" w:hAnsi="宋体"/>
          <w:color w:val="000000"/>
        </w:rPr>
        <w:t xml:space="preserve">    H＝E*NAV0*(K-R)×</w:t>
      </w:r>
      <w:r>
        <w:rPr>
          <w:rFonts w:hint="eastAsia" w:ascii="宋体" w:hAnsi="宋体"/>
          <w:color w:val="000000"/>
          <w:lang w:val="en-US" w:eastAsia="zh-CN"/>
        </w:rPr>
        <w:t>5</w:t>
      </w:r>
      <w:r>
        <w:rPr>
          <w:rFonts w:ascii="宋体" w:hAnsi="宋体"/>
          <w:color w:val="000000"/>
        </w:rPr>
        <w:t>0％×D÷365，其中,K=(NAV1-NAV0+T) ÷NAV0×365÷D</w:t>
      </w:r>
    </w:p>
    <w:p>
      <w:pPr>
        <w:widowControl/>
        <w:spacing w:line="300" w:lineRule="auto"/>
        <w:ind w:firstLine="424" w:firstLineChars="202"/>
        <w:contextualSpacing/>
        <w:outlineLvl w:val="0"/>
        <w:rPr>
          <w:rFonts w:ascii="宋体" w:hAnsi="宋体"/>
          <w:color w:val="000000"/>
        </w:rPr>
      </w:pPr>
      <w:r>
        <w:rPr>
          <w:rFonts w:ascii="宋体" w:hAnsi="宋体"/>
          <w:color w:val="000000"/>
        </w:rPr>
        <w:t>H为当前确认日应收取的浮动管理费</w:t>
      </w:r>
    </w:p>
    <w:p>
      <w:pPr>
        <w:widowControl/>
        <w:spacing w:line="300" w:lineRule="auto"/>
        <w:ind w:firstLine="424" w:firstLineChars="202"/>
        <w:contextualSpacing/>
        <w:outlineLvl w:val="0"/>
        <w:rPr>
          <w:rFonts w:ascii="宋体" w:hAnsi="宋体"/>
          <w:color w:val="000000"/>
        </w:rPr>
      </w:pPr>
      <w:r>
        <w:rPr>
          <w:rFonts w:ascii="宋体" w:hAnsi="宋体"/>
          <w:color w:val="000000"/>
        </w:rPr>
        <w:t>E为本产品上一个确认日的存续份额</w:t>
      </w:r>
    </w:p>
    <w:p>
      <w:pPr>
        <w:widowControl/>
        <w:spacing w:line="300" w:lineRule="auto"/>
        <w:ind w:firstLine="424" w:firstLineChars="202"/>
        <w:contextualSpacing/>
        <w:outlineLvl w:val="0"/>
        <w:rPr>
          <w:rFonts w:ascii="宋体" w:hAnsi="宋体"/>
          <w:color w:val="000000"/>
        </w:rPr>
      </w:pPr>
      <w:r>
        <w:rPr>
          <w:rFonts w:ascii="宋体" w:hAnsi="宋体"/>
          <w:color w:val="000000"/>
        </w:rPr>
        <w:t>NAV0为上一个确认日费后单位净值</w:t>
      </w:r>
    </w:p>
    <w:p>
      <w:pPr>
        <w:widowControl/>
        <w:spacing w:line="300" w:lineRule="auto"/>
        <w:ind w:firstLine="424" w:firstLineChars="202"/>
        <w:contextualSpacing/>
        <w:outlineLvl w:val="0"/>
        <w:rPr>
          <w:rFonts w:ascii="宋体" w:hAnsi="宋体"/>
          <w:color w:val="000000"/>
        </w:rPr>
      </w:pPr>
      <w:r>
        <w:rPr>
          <w:rFonts w:ascii="宋体" w:hAnsi="宋体"/>
          <w:color w:val="000000"/>
        </w:rPr>
        <w:t>NAV1为当前确认日未扣除浮动管理费前的单位净值</w:t>
      </w:r>
    </w:p>
    <w:p>
      <w:pPr>
        <w:widowControl/>
        <w:spacing w:line="300" w:lineRule="auto"/>
        <w:ind w:firstLine="424" w:firstLineChars="202"/>
        <w:contextualSpacing/>
        <w:outlineLvl w:val="0"/>
        <w:rPr>
          <w:rFonts w:ascii="宋体" w:hAnsi="宋体"/>
          <w:color w:val="000000"/>
        </w:rPr>
      </w:pPr>
      <w:r>
        <w:rPr>
          <w:rFonts w:ascii="宋体" w:hAnsi="宋体"/>
          <w:color w:val="000000"/>
        </w:rPr>
        <w:t>R为当前投资周期适用的业绩比较基准</w:t>
      </w:r>
    </w:p>
    <w:p>
      <w:pPr>
        <w:widowControl/>
        <w:spacing w:line="300" w:lineRule="auto"/>
        <w:ind w:firstLine="420" w:firstLineChars="200"/>
        <w:contextualSpacing/>
        <w:outlineLvl w:val="0"/>
        <w:rPr>
          <w:rFonts w:ascii="宋体" w:hAnsi="宋体"/>
          <w:color w:val="000000"/>
        </w:rPr>
      </w:pPr>
      <w:r>
        <w:rPr>
          <w:rFonts w:ascii="宋体" w:hAnsi="宋体"/>
          <w:color w:val="000000"/>
        </w:rPr>
        <w:t>D为上一个确认日（含）至当前确认日（不含）的实际理财天数</w:t>
      </w:r>
    </w:p>
    <w:p>
      <w:pPr>
        <w:widowControl/>
        <w:spacing w:line="300" w:lineRule="auto"/>
        <w:ind w:firstLine="420" w:firstLineChars="200"/>
        <w:contextualSpacing/>
        <w:outlineLvl w:val="0"/>
        <w:rPr>
          <w:rFonts w:ascii="宋体" w:hAnsi="宋体"/>
          <w:color w:val="000000"/>
        </w:rPr>
      </w:pPr>
      <w:r>
        <w:rPr>
          <w:rFonts w:ascii="宋体" w:hAnsi="宋体"/>
          <w:color w:val="000000"/>
        </w:rPr>
        <w:t>T为当前投资周期内每单位份额的实际分红金额的合计（如有）</w:t>
      </w:r>
    </w:p>
    <w:p>
      <w:pPr>
        <w:spacing w:line="520" w:lineRule="exact"/>
        <w:ind w:firstLine="422" w:firstLineChars="200"/>
        <w:rPr>
          <w:rFonts w:ascii="宋体" w:hAnsi="宋体" w:cs="宋体"/>
          <w:b/>
          <w:kern w:val="0"/>
        </w:rPr>
      </w:pPr>
      <w:r>
        <w:rPr>
          <w:rFonts w:hint="eastAsia" w:ascii="宋体" w:hAnsi="宋体" w:cs="宋体"/>
          <w:b/>
          <w:kern w:val="0"/>
        </w:rPr>
        <w:t>管理人保留变更上述收取费率标准的权利，如有变更将提前</w:t>
      </w:r>
      <w:r>
        <w:rPr>
          <w:rFonts w:ascii="宋体" w:hAnsi="宋体" w:cs="宋体"/>
          <w:b/>
          <w:kern w:val="0"/>
        </w:rPr>
        <w:t>1</w:t>
      </w:r>
      <w:r>
        <w:rPr>
          <w:rFonts w:hint="eastAsia" w:ascii="宋体" w:hAnsi="宋体" w:cs="宋体"/>
          <w:b/>
          <w:kern w:val="0"/>
        </w:rPr>
        <w:t>个工作日在管理人或销售机构网站公告。</w:t>
      </w:r>
    </w:p>
    <w:p>
      <w:pPr>
        <w:pStyle w:val="29"/>
        <w:spacing w:line="520" w:lineRule="exact"/>
        <w:ind w:left="420" w:firstLine="0" w:firstLineChars="0"/>
        <w:rPr>
          <w:rFonts w:ascii="宋体" w:cs="Times New Roman"/>
          <w:kern w:val="0"/>
        </w:rPr>
      </w:pPr>
      <w:r>
        <w:rPr>
          <w:rFonts w:hint="eastAsia" w:ascii="宋体" w:hAnsi="宋体" w:cs="宋体"/>
          <w:kern w:val="0"/>
        </w:rPr>
        <w:t>（三）收益示例说明</w:t>
      </w:r>
    </w:p>
    <w:p>
      <w:pPr>
        <w:spacing w:line="520" w:lineRule="exact"/>
        <w:ind w:firstLine="413" w:firstLineChars="196"/>
        <w:rPr>
          <w:rFonts w:ascii="宋体" w:cs="Times New Roman"/>
          <w:b/>
          <w:bCs/>
          <w:kern w:val="0"/>
        </w:rPr>
      </w:pPr>
      <w:r>
        <w:rPr>
          <w:rFonts w:hint="eastAsia" w:ascii="宋体" w:hAnsi="宋体" w:cs="宋体"/>
          <w:b/>
          <w:bCs/>
          <w:kern w:val="0"/>
        </w:rPr>
        <w:t>示例一：扣除托管费、固定管理费和销售手续费后，投资收益率超越业绩比较基准</w:t>
      </w:r>
    </w:p>
    <w:p>
      <w:pPr>
        <w:widowControl/>
        <w:spacing w:line="360" w:lineRule="auto"/>
        <w:ind w:firstLine="420" w:firstLineChars="200"/>
        <w:contextualSpacing/>
        <w:outlineLvl w:val="0"/>
        <w:rPr>
          <w:rFonts w:ascii="宋体" w:hAnsi="宋体"/>
        </w:rPr>
      </w:pPr>
      <w:r>
        <w:rPr>
          <w:rFonts w:hint="eastAsia" w:ascii="宋体" w:hAnsi="宋体"/>
        </w:rPr>
        <w:t>以某投资者投资10万元为例，假设购买时产品净值为1.00元，折算份额为100,000.00份,投资本理财产品362天后，赎回份额100000.00份。假设管理人提取超过业绩基准部分的80%作为浮动管理费，产品业绩比较基准为5.60%，期间无分红。赎回时扣除增值税、托管费、销售手续费、固定管理费后，如产品净值为1.0615，此时，(1.0615/1.00-1)×365/362=6.20%&gt;5.60%，即投资收益超越业绩比较基准，则投资管理人对超过业绩比较基准部分收益收取浮动管理费，浮动管理费为：</w:t>
      </w:r>
    </w:p>
    <w:p>
      <w:pPr>
        <w:widowControl/>
        <w:spacing w:line="360" w:lineRule="auto"/>
        <w:ind w:firstLine="420" w:firstLineChars="200"/>
        <w:contextualSpacing/>
        <w:outlineLvl w:val="0"/>
        <w:rPr>
          <w:rFonts w:ascii="宋体" w:hAnsi="宋体"/>
        </w:rPr>
      </w:pPr>
      <w:r>
        <w:rPr>
          <w:rFonts w:hint="eastAsia" w:ascii="宋体" w:hAnsi="宋体"/>
        </w:rPr>
        <w:t>100,000.00×1.00×(6.20%-5.60%)×80%×362÷365=476.05（元）</w:t>
      </w:r>
    </w:p>
    <w:p>
      <w:pPr>
        <w:widowControl/>
        <w:spacing w:line="360" w:lineRule="auto"/>
        <w:ind w:firstLine="420" w:firstLineChars="200"/>
        <w:contextualSpacing/>
        <w:outlineLvl w:val="0"/>
        <w:rPr>
          <w:rFonts w:ascii="宋体" w:hAnsi="宋体"/>
        </w:rPr>
      </w:pPr>
      <w:r>
        <w:rPr>
          <w:rFonts w:hint="eastAsia" w:ascii="宋体" w:hAnsi="宋体"/>
        </w:rPr>
        <w:t>扣除浮动管理费后，投资者最终收益为：</w:t>
      </w:r>
    </w:p>
    <w:p>
      <w:pPr>
        <w:spacing w:line="520" w:lineRule="exact"/>
        <w:ind w:firstLine="411" w:firstLineChars="196"/>
        <w:rPr>
          <w:rFonts w:ascii="宋体" w:hAnsi="宋体"/>
        </w:rPr>
      </w:pPr>
      <w:r>
        <w:rPr>
          <w:rFonts w:hint="eastAsia" w:ascii="宋体" w:hAnsi="宋体"/>
        </w:rPr>
        <w:t>100,000.00×（1.0615-1.00）-476.05=5,673.95（元），产品赎回时，投资者获得的实际收益相当于达到年化收益率水平为：5,673.95/100,000.00×365/362=5.72%。</w:t>
      </w:r>
    </w:p>
    <w:p>
      <w:pPr>
        <w:spacing w:line="520" w:lineRule="exact"/>
        <w:ind w:firstLine="413" w:firstLineChars="196"/>
        <w:rPr>
          <w:rFonts w:ascii="宋体" w:cs="Times New Roman"/>
          <w:b/>
          <w:bCs/>
          <w:kern w:val="0"/>
        </w:rPr>
      </w:pPr>
      <w:r>
        <w:rPr>
          <w:rFonts w:hint="eastAsia" w:ascii="宋体" w:hAnsi="宋体" w:cs="宋体"/>
          <w:b/>
          <w:bCs/>
          <w:kern w:val="0"/>
        </w:rPr>
        <w:t>示例二：扣除托管费、固定管理费和销售手续费后，投资收益率未达到业绩比较基准</w:t>
      </w:r>
    </w:p>
    <w:p>
      <w:pPr>
        <w:widowControl/>
        <w:spacing w:line="360" w:lineRule="auto"/>
        <w:ind w:firstLine="420" w:firstLineChars="200"/>
        <w:contextualSpacing/>
        <w:outlineLvl w:val="0"/>
        <w:rPr>
          <w:rFonts w:ascii="宋体" w:hAnsi="宋体"/>
        </w:rPr>
      </w:pPr>
      <w:r>
        <w:rPr>
          <w:rFonts w:hint="eastAsia" w:ascii="宋体" w:hAnsi="宋体" w:cs="宋体"/>
          <w:kern w:val="0"/>
        </w:rPr>
        <w:t>以某投资者投资</w:t>
      </w:r>
      <w:r>
        <w:rPr>
          <w:rFonts w:ascii="宋体" w:hAnsi="宋体" w:cs="宋体"/>
          <w:kern w:val="0"/>
        </w:rPr>
        <w:t>10</w:t>
      </w:r>
      <w:r>
        <w:rPr>
          <w:rFonts w:hint="eastAsia" w:ascii="宋体" w:hAnsi="宋体" w:cs="宋体"/>
          <w:kern w:val="0"/>
        </w:rPr>
        <w:t>万元为例，购买时产品净值为</w:t>
      </w:r>
      <w:r>
        <w:rPr>
          <w:rFonts w:ascii="宋体" w:hAnsi="宋体" w:cs="宋体"/>
          <w:kern w:val="0"/>
        </w:rPr>
        <w:t>1.00</w:t>
      </w:r>
      <w:r>
        <w:rPr>
          <w:rFonts w:hint="eastAsia" w:ascii="宋体" w:hAnsi="宋体" w:cs="宋体"/>
          <w:kern w:val="0"/>
        </w:rPr>
        <w:t>元，折算份额为</w:t>
      </w:r>
      <w:r>
        <w:rPr>
          <w:rFonts w:ascii="宋体" w:hAnsi="宋体" w:cs="宋体"/>
          <w:kern w:val="0"/>
        </w:rPr>
        <w:t>100000.00</w:t>
      </w:r>
      <w:r>
        <w:rPr>
          <w:rFonts w:hint="eastAsia" w:ascii="宋体" w:hAnsi="宋体" w:cs="宋体"/>
          <w:kern w:val="0"/>
        </w:rPr>
        <w:t>份</w:t>
      </w:r>
      <w:r>
        <w:rPr>
          <w:rFonts w:ascii="宋体" w:cs="宋体"/>
          <w:kern w:val="0"/>
        </w:rPr>
        <w:t>,</w:t>
      </w:r>
      <w:r>
        <w:rPr>
          <w:rFonts w:hint="eastAsia" w:ascii="宋体" w:hAnsi="宋体" w:cs="宋体"/>
          <w:kern w:val="0"/>
        </w:rPr>
        <w:t>投资本理财产品</w:t>
      </w:r>
      <w:r>
        <w:rPr>
          <w:rFonts w:ascii="宋体" w:hAnsi="宋体" w:cs="宋体"/>
          <w:kern w:val="0"/>
        </w:rPr>
        <w:t xml:space="preserve"> 36</w:t>
      </w:r>
      <w:r>
        <w:rPr>
          <w:rFonts w:hint="eastAsia" w:ascii="宋体" w:hAnsi="宋体" w:cs="宋体"/>
          <w:kern w:val="0"/>
        </w:rPr>
        <w:t>2天后，赎回份额</w:t>
      </w:r>
      <w:r>
        <w:rPr>
          <w:rFonts w:ascii="宋体" w:hAnsi="宋体" w:cs="宋体"/>
          <w:kern w:val="0"/>
        </w:rPr>
        <w:t>100000.00</w:t>
      </w:r>
      <w:r>
        <w:rPr>
          <w:rFonts w:hint="eastAsia" w:ascii="宋体" w:hAnsi="宋体" w:cs="宋体"/>
          <w:kern w:val="0"/>
        </w:rPr>
        <w:t>份。假设</w:t>
      </w:r>
      <w:r>
        <w:rPr>
          <w:rFonts w:hint="eastAsia" w:ascii="宋体" w:hAnsi="宋体"/>
        </w:rPr>
        <w:t>管理人提取超过业绩基准部分的80%作为浮动管理费，</w:t>
      </w:r>
      <w:r>
        <w:rPr>
          <w:rFonts w:hint="eastAsia" w:ascii="宋体" w:hAnsi="宋体" w:cs="宋体"/>
          <w:kern w:val="0"/>
        </w:rPr>
        <w:t>产品业绩比较基准为5.60</w:t>
      </w:r>
      <w:r>
        <w:rPr>
          <w:rFonts w:ascii="宋体" w:hAnsi="宋体" w:cs="宋体"/>
          <w:kern w:val="0"/>
        </w:rPr>
        <w:t xml:space="preserve">% </w:t>
      </w:r>
      <w:r>
        <w:rPr>
          <w:rFonts w:hint="eastAsia" w:ascii="宋体" w:hAnsi="宋体" w:cs="宋体"/>
          <w:kern w:val="0"/>
        </w:rPr>
        <w:t>，</w:t>
      </w:r>
      <w:r>
        <w:rPr>
          <w:rFonts w:hint="eastAsia" w:ascii="宋体" w:hAnsi="宋体"/>
        </w:rPr>
        <w:t>期间无分红</w:t>
      </w:r>
      <w:r>
        <w:rPr>
          <w:rFonts w:hint="eastAsia" w:ascii="宋体" w:hAnsi="宋体" w:cs="宋体"/>
          <w:kern w:val="0"/>
        </w:rPr>
        <w:t>。赎回时扣除增值税、托管费、销售手续费、固定管理费等各类税费后，</w:t>
      </w:r>
    </w:p>
    <w:p>
      <w:pPr>
        <w:widowControl/>
        <w:spacing w:line="360" w:lineRule="auto"/>
        <w:contextualSpacing/>
        <w:outlineLvl w:val="0"/>
        <w:rPr>
          <w:rFonts w:ascii="宋体" w:hAnsi="宋体"/>
        </w:rPr>
      </w:pPr>
      <w:r>
        <w:rPr>
          <w:rFonts w:hint="eastAsia" w:ascii="宋体" w:hAnsi="宋体"/>
        </w:rPr>
        <w:t>如产品净值为1.0496，此时，(1.0496/1.00-1)×365/362=5.00%&lt;5.60%，即投资收益未达到业绩比较基准，则投资管理人不收取浮动管理费，</w:t>
      </w:r>
      <w:r>
        <w:rPr>
          <w:rFonts w:hint="eastAsia" w:ascii="宋体" w:hAnsi="宋体" w:cs="宋体"/>
          <w:kern w:val="0"/>
        </w:rPr>
        <w:t>投资者</w:t>
      </w:r>
      <w:r>
        <w:rPr>
          <w:rFonts w:hint="eastAsia" w:ascii="宋体" w:hAnsi="宋体"/>
        </w:rPr>
        <w:t>最终收益为：100,000.00×(1.0496-1.00）=4,960.00（元）。</w:t>
      </w:r>
    </w:p>
    <w:p>
      <w:pPr>
        <w:spacing w:line="520" w:lineRule="exact"/>
        <w:ind w:firstLine="422" w:firstLineChars="200"/>
        <w:rPr>
          <w:rFonts w:ascii="宋体" w:cs="Times New Roman"/>
          <w:b/>
          <w:bCs/>
          <w:kern w:val="0"/>
        </w:rPr>
      </w:pPr>
      <w:r>
        <w:rPr>
          <w:rFonts w:hint="eastAsia" w:ascii="宋体" w:hAnsi="宋体" w:cs="宋体"/>
          <w:b/>
          <w:bCs/>
          <w:kern w:val="0"/>
        </w:rPr>
        <w:t>示例三：扣除托管费、固定管理费和销售手续费后，投资发生亏损</w:t>
      </w:r>
    </w:p>
    <w:p>
      <w:pPr>
        <w:spacing w:line="520" w:lineRule="exact"/>
        <w:ind w:firstLine="420" w:firstLineChars="200"/>
        <w:rPr>
          <w:rFonts w:ascii="宋体" w:hAnsi="宋体" w:cs="宋体"/>
          <w:kern w:val="0"/>
        </w:rPr>
      </w:pPr>
      <w:r>
        <w:rPr>
          <w:rFonts w:hint="eastAsia" w:ascii="宋体" w:hAnsi="宋体" w:cs="宋体"/>
          <w:kern w:val="0"/>
        </w:rPr>
        <w:t>以某投资者投资</w:t>
      </w:r>
      <w:r>
        <w:rPr>
          <w:rFonts w:ascii="宋体" w:hAnsi="宋体" w:cs="宋体"/>
          <w:kern w:val="0"/>
        </w:rPr>
        <w:t>10</w:t>
      </w:r>
      <w:r>
        <w:rPr>
          <w:rFonts w:hint="eastAsia" w:ascii="宋体" w:hAnsi="宋体" w:cs="宋体"/>
          <w:kern w:val="0"/>
        </w:rPr>
        <w:t>万元为例，购买时产品净值为</w:t>
      </w:r>
      <w:r>
        <w:rPr>
          <w:rFonts w:ascii="宋体" w:hAnsi="宋体" w:cs="宋体"/>
          <w:kern w:val="0"/>
        </w:rPr>
        <w:t>1.00</w:t>
      </w:r>
      <w:r>
        <w:rPr>
          <w:rFonts w:hint="eastAsia" w:ascii="宋体" w:hAnsi="宋体" w:cs="宋体"/>
          <w:kern w:val="0"/>
        </w:rPr>
        <w:t>元，折算份额为</w:t>
      </w:r>
      <w:r>
        <w:rPr>
          <w:rFonts w:ascii="宋体" w:hAnsi="宋体" w:cs="宋体"/>
          <w:kern w:val="0"/>
        </w:rPr>
        <w:t>100000.00</w:t>
      </w:r>
      <w:r>
        <w:rPr>
          <w:rFonts w:hint="eastAsia" w:ascii="宋体" w:hAnsi="宋体" w:cs="宋体"/>
          <w:kern w:val="0"/>
        </w:rPr>
        <w:t>份，投资本理财产品</w:t>
      </w:r>
      <w:r>
        <w:rPr>
          <w:rFonts w:ascii="宋体" w:hAnsi="宋体" w:cs="宋体"/>
          <w:kern w:val="0"/>
        </w:rPr>
        <w:t>36</w:t>
      </w:r>
      <w:r>
        <w:rPr>
          <w:rFonts w:hint="eastAsia" w:ascii="宋体" w:hAnsi="宋体" w:cs="宋体"/>
          <w:kern w:val="0"/>
        </w:rPr>
        <w:t>2天后，赎回份额</w:t>
      </w:r>
      <w:r>
        <w:rPr>
          <w:rFonts w:ascii="宋体" w:hAnsi="宋体" w:cs="宋体"/>
          <w:kern w:val="0"/>
        </w:rPr>
        <w:t>100000.00</w:t>
      </w:r>
      <w:r>
        <w:rPr>
          <w:rFonts w:hint="eastAsia" w:ascii="宋体" w:hAnsi="宋体" w:cs="宋体"/>
          <w:kern w:val="0"/>
        </w:rPr>
        <w:t>份。假设</w:t>
      </w:r>
      <w:r>
        <w:rPr>
          <w:rFonts w:hint="eastAsia" w:ascii="宋体" w:hAnsi="宋体"/>
        </w:rPr>
        <w:t>管理人提取超过业绩基准部分的80%作为浮动管理费，</w:t>
      </w:r>
      <w:r>
        <w:rPr>
          <w:rFonts w:hint="eastAsia" w:ascii="宋体" w:hAnsi="宋体" w:cs="宋体"/>
          <w:kern w:val="0"/>
        </w:rPr>
        <w:t>产品业绩比较基准为5.60</w:t>
      </w:r>
      <w:r>
        <w:rPr>
          <w:rFonts w:ascii="宋体" w:hAnsi="宋体" w:cs="宋体"/>
          <w:kern w:val="0"/>
        </w:rPr>
        <w:t>%</w:t>
      </w:r>
      <w:r>
        <w:rPr>
          <w:rFonts w:hint="eastAsia" w:ascii="宋体" w:hAnsi="宋体" w:cs="宋体"/>
          <w:kern w:val="0"/>
        </w:rPr>
        <w:t>，</w:t>
      </w:r>
      <w:r>
        <w:rPr>
          <w:rFonts w:hint="eastAsia" w:ascii="宋体" w:hAnsi="宋体"/>
        </w:rPr>
        <w:t>期间无分红。</w:t>
      </w:r>
      <w:r>
        <w:rPr>
          <w:rFonts w:hint="eastAsia" w:ascii="宋体" w:hAnsi="宋体" w:cs="宋体"/>
          <w:kern w:val="0"/>
        </w:rPr>
        <w:t>赎回时扣除增值税、托管费、销售手续费、固定管理费等各类税费后，如产品净值为</w:t>
      </w:r>
      <w:r>
        <w:rPr>
          <w:rFonts w:ascii="宋体" w:hAnsi="宋体" w:cs="宋体"/>
          <w:kern w:val="0"/>
        </w:rPr>
        <w:t>0.9975</w:t>
      </w:r>
      <w:r>
        <w:rPr>
          <w:rFonts w:hint="eastAsia" w:ascii="宋体" w:hAnsi="宋体" w:cs="宋体"/>
          <w:kern w:val="0"/>
        </w:rPr>
        <w:t>，</w:t>
      </w:r>
      <w:r>
        <w:rPr>
          <w:rFonts w:hint="eastAsia" w:ascii="宋体" w:hAnsi="宋体"/>
        </w:rPr>
        <w:t>则投资管理人不收取浮动管理费，</w:t>
      </w:r>
      <w:r>
        <w:rPr>
          <w:rFonts w:hint="eastAsia" w:ascii="宋体" w:hAnsi="宋体" w:cs="宋体"/>
          <w:kern w:val="0"/>
        </w:rPr>
        <w:t>投资者最终收益为：</w:t>
      </w:r>
      <w:r>
        <w:rPr>
          <w:rFonts w:ascii="宋体" w:hAnsi="宋体" w:cs="宋体"/>
          <w:kern w:val="0"/>
        </w:rPr>
        <w:t>0.9975</w:t>
      </w:r>
      <w:r>
        <w:rPr>
          <w:rFonts w:hint="eastAsia" w:ascii="宋体" w:hAnsi="宋体" w:cs="宋体"/>
          <w:kern w:val="0"/>
        </w:rPr>
        <w:t>×</w:t>
      </w:r>
      <w:r>
        <w:rPr>
          <w:rFonts w:ascii="宋体" w:hAnsi="宋体" w:cs="宋体"/>
          <w:kern w:val="0"/>
        </w:rPr>
        <w:t>100000.00-1.00</w:t>
      </w:r>
      <w:r>
        <w:rPr>
          <w:rFonts w:hint="eastAsia" w:ascii="宋体" w:hAnsi="宋体" w:cs="宋体"/>
          <w:kern w:val="0"/>
        </w:rPr>
        <w:t>×</w:t>
      </w:r>
      <w:r>
        <w:rPr>
          <w:rFonts w:ascii="宋体" w:hAnsi="宋体" w:cs="宋体"/>
          <w:kern w:val="0"/>
        </w:rPr>
        <w:t>100000.00=-250.00</w:t>
      </w:r>
      <w:r>
        <w:rPr>
          <w:rFonts w:hint="eastAsia" w:ascii="宋体" w:hAnsi="宋体" w:cs="宋体"/>
          <w:kern w:val="0"/>
        </w:rPr>
        <w:t>（元）。</w:t>
      </w:r>
    </w:p>
    <w:p>
      <w:pPr>
        <w:spacing w:line="520" w:lineRule="exact"/>
        <w:ind w:firstLine="422" w:firstLineChars="200"/>
        <w:rPr>
          <w:rFonts w:ascii="宋体" w:cs="Times New Roman"/>
          <w:b/>
        </w:rPr>
      </w:pPr>
      <w:r>
        <w:rPr>
          <w:rFonts w:hint="eastAsia" w:ascii="宋体" w:hAnsi="宋体" w:cs="宋体"/>
          <w:b/>
        </w:rPr>
        <w:t>（四）最不利情况分析</w:t>
      </w:r>
    </w:p>
    <w:p>
      <w:pPr>
        <w:spacing w:line="520" w:lineRule="exact"/>
        <w:ind w:firstLine="422" w:firstLineChars="200"/>
        <w:rPr>
          <w:rFonts w:ascii="宋体" w:hAnsi="宋体" w:cs="宋体"/>
          <w:b/>
        </w:rPr>
      </w:pPr>
      <w:r>
        <w:rPr>
          <w:rFonts w:hint="eastAsia" w:ascii="宋体" w:hAnsi="宋体" w:cs="宋体"/>
          <w:b/>
        </w:rPr>
        <w:t>本产品为固定收益类净值型理财产品，由于市场波动导致投资品贬值或者投资品发生信用风险导致相应损失，使产品赎回或到期时投资收益达不到业绩基准，甚至不足以支付理财产品本金，届时理财资金将按照产品实际净值向投资者进行分配。但在此种情形下，理财产品保留向发生信用风险的投资品发行主体进行追偿的法定权利，若这些权利在未来得以实现，在扣除相关费用后，将继续向投资者进行清偿。</w:t>
      </w:r>
    </w:p>
    <w:p>
      <w:pPr>
        <w:pStyle w:val="8"/>
        <w:spacing w:before="0" w:after="0" w:line="520" w:lineRule="exact"/>
        <w:jc w:val="both"/>
        <w:rPr>
          <w:sz w:val="28"/>
          <w:szCs w:val="28"/>
        </w:rPr>
      </w:pPr>
      <w:r>
        <w:rPr>
          <w:rFonts w:hint="eastAsia" w:cs="宋体"/>
          <w:sz w:val="28"/>
          <w:szCs w:val="28"/>
        </w:rPr>
        <w:t>八、产品申购、赎回及终止</w:t>
      </w:r>
    </w:p>
    <w:p>
      <w:pPr>
        <w:spacing w:line="520" w:lineRule="exact"/>
        <w:ind w:firstLine="424" w:firstLineChars="202"/>
        <w:rPr>
          <w:rFonts w:hint="eastAsia" w:ascii="宋体" w:hAnsi="Wingdings" w:cs="Times New Roman"/>
          <w:color w:val="000000"/>
          <w:kern w:val="0"/>
        </w:rPr>
      </w:pPr>
      <w:r>
        <w:rPr>
          <w:rFonts w:hint="eastAsia" w:ascii="宋体" w:hAnsi="Wingdings" w:cs="宋体"/>
          <w:color w:val="000000"/>
          <w:kern w:val="0"/>
        </w:rPr>
        <w:t>（一）受理时间</w:t>
      </w:r>
    </w:p>
    <w:p>
      <w:pPr>
        <w:spacing w:line="520" w:lineRule="exact"/>
        <w:ind w:firstLine="424" w:firstLineChars="202"/>
        <w:rPr>
          <w:rFonts w:hint="eastAsia" w:ascii="宋体" w:hAnsi="Wingdings" w:cs="Times New Roman"/>
          <w:color w:val="000000"/>
          <w:kern w:val="0"/>
        </w:rPr>
      </w:pPr>
      <w:r>
        <w:rPr>
          <w:rFonts w:hint="eastAsia" w:ascii="宋体" w:hAnsi="Wingdings" w:cs="宋体"/>
          <w:color w:val="000000"/>
          <w:kern w:val="0"/>
        </w:rPr>
        <w:t>本产品在每个开放期的工作时间都可以进行申购和赎回，申购和赎回申请将在本次开放期后的第一个确认日确认。</w:t>
      </w:r>
    </w:p>
    <w:p>
      <w:pPr>
        <w:spacing w:line="520" w:lineRule="exact"/>
        <w:ind w:firstLine="420" w:firstLineChars="200"/>
        <w:rPr>
          <w:rFonts w:hint="eastAsia" w:ascii="宋体" w:hAnsi="Wingdings" w:cs="Times New Roman"/>
          <w:color w:val="000000"/>
          <w:kern w:val="0"/>
        </w:rPr>
      </w:pPr>
      <w:r>
        <w:rPr>
          <w:rFonts w:hint="eastAsia" w:ascii="宋体" w:hAnsi="Wingdings" w:cs="宋体"/>
          <w:color w:val="000000"/>
          <w:kern w:val="0"/>
        </w:rPr>
        <w:t>工作时间为每个工作日上午9:00至下午17:00。</w:t>
      </w:r>
    </w:p>
    <w:p>
      <w:pPr>
        <w:spacing w:line="520" w:lineRule="exact"/>
        <w:ind w:firstLine="424" w:firstLineChars="202"/>
        <w:rPr>
          <w:rFonts w:hint="eastAsia" w:ascii="宋体" w:hAnsi="Wingdings" w:cs="Times New Roman"/>
          <w:color w:val="000000"/>
          <w:kern w:val="0"/>
        </w:rPr>
      </w:pPr>
      <w:r>
        <w:rPr>
          <w:rFonts w:hint="eastAsia" w:ascii="宋体" w:hAnsi="Wingdings" w:cs="宋体"/>
          <w:color w:val="000000"/>
          <w:kern w:val="0"/>
        </w:rPr>
        <w:t>在理财产品存续期内，管理人有权根据市场情况变化暂停本理财产品的申购、赎回，暂停申购、赎回的公告将通过管理人或销售机构网站发布。</w:t>
      </w:r>
    </w:p>
    <w:p>
      <w:pPr>
        <w:spacing w:line="520" w:lineRule="exact"/>
        <w:ind w:firstLine="424" w:firstLineChars="202"/>
        <w:rPr>
          <w:rFonts w:hint="eastAsia" w:ascii="宋体" w:hAnsi="Wingdings" w:cs="Times New Roman"/>
          <w:color w:val="000000"/>
          <w:kern w:val="0"/>
        </w:rPr>
      </w:pPr>
      <w:r>
        <w:rPr>
          <w:rFonts w:hint="eastAsia" w:ascii="宋体" w:hAnsi="Wingdings" w:cs="宋体"/>
          <w:color w:val="000000"/>
          <w:kern w:val="0"/>
        </w:rPr>
        <w:t>（二）份额要求</w:t>
      </w:r>
    </w:p>
    <w:p>
      <w:pPr>
        <w:pStyle w:val="29"/>
        <w:numPr>
          <w:ilvl w:val="0"/>
          <w:numId w:val="8"/>
        </w:numPr>
        <w:spacing w:line="520" w:lineRule="exact"/>
        <w:ind w:firstLineChars="0"/>
        <w:rPr>
          <w:rFonts w:hint="eastAsia" w:ascii="宋体" w:hAnsi="Wingdings" w:cs="Times New Roman"/>
          <w:color w:val="000000"/>
          <w:kern w:val="0"/>
        </w:rPr>
      </w:pPr>
      <w:r>
        <w:rPr>
          <w:rFonts w:hint="eastAsia" w:ascii="宋体" w:hAnsi="Wingdings" w:cs="宋体"/>
          <w:color w:val="000000"/>
          <w:kern w:val="0"/>
        </w:rPr>
        <w:t>本理财产品首次购买的起点金额为1元，追加购买金额必须是1元或1元的整数倍；存续份额不得低于1份；单户持有份额不得超过1亿份。</w:t>
      </w:r>
      <w:r>
        <w:rPr>
          <w:rFonts w:hint="eastAsia" w:ascii="宋体" w:hAnsi="Wingdings" w:cs="宋体"/>
          <w:b/>
          <w:color w:val="000000"/>
          <w:kern w:val="0"/>
        </w:rPr>
        <w:t>若本理财产品净赎回份额超过本理财产品上一交易日日终产品总份额10%时，管理人有权拒绝赎回申请。</w:t>
      </w:r>
    </w:p>
    <w:p>
      <w:pPr>
        <w:pStyle w:val="29"/>
        <w:numPr>
          <w:ilvl w:val="0"/>
          <w:numId w:val="8"/>
        </w:numPr>
        <w:spacing w:line="520" w:lineRule="exact"/>
        <w:ind w:firstLineChars="0"/>
        <w:rPr>
          <w:rFonts w:hint="eastAsia" w:ascii="宋体" w:hAnsi="Wingdings" w:cs="Times New Roman"/>
          <w:color w:val="000000"/>
          <w:kern w:val="0"/>
        </w:rPr>
      </w:pPr>
      <w:r>
        <w:rPr>
          <w:rFonts w:hint="eastAsia" w:ascii="宋体" w:hAnsi="Wingdings" w:cs="宋体"/>
          <w:color w:val="000000"/>
          <w:kern w:val="0"/>
        </w:rPr>
        <w:t>投资者可选择全额或部分赎回，部分赎回后投资者持有本理财产品的实时余额不得低于1000份。</w:t>
      </w:r>
    </w:p>
    <w:p>
      <w:pPr>
        <w:pStyle w:val="29"/>
        <w:numPr>
          <w:ilvl w:val="0"/>
          <w:numId w:val="8"/>
        </w:numPr>
        <w:spacing w:line="520" w:lineRule="exact"/>
        <w:ind w:firstLineChars="0"/>
        <w:rPr>
          <w:rFonts w:hint="eastAsia" w:ascii="宋体" w:hAnsi="Wingdings" w:cs="Times New Roman"/>
          <w:b/>
          <w:color w:val="000000"/>
          <w:kern w:val="0"/>
        </w:rPr>
      </w:pPr>
      <w:r>
        <w:rPr>
          <w:rFonts w:hint="eastAsia" w:ascii="宋体" w:hAnsi="Wingdings" w:cs="宋体"/>
          <w:b/>
          <w:color w:val="000000"/>
          <w:kern w:val="0"/>
        </w:rPr>
        <w:t>管理人有权拒绝投资者超过持有份额上限部分的认购或申购申请。</w:t>
      </w:r>
    </w:p>
    <w:p>
      <w:pPr>
        <w:pStyle w:val="29"/>
        <w:numPr>
          <w:ilvl w:val="0"/>
          <w:numId w:val="8"/>
        </w:numPr>
        <w:spacing w:line="520" w:lineRule="exact"/>
        <w:ind w:firstLineChars="0"/>
        <w:rPr>
          <w:rFonts w:hint="eastAsia" w:ascii="宋体" w:hAnsi="Wingdings" w:cs="Times New Roman"/>
          <w:b/>
          <w:color w:val="000000"/>
          <w:kern w:val="0"/>
        </w:rPr>
      </w:pPr>
      <w:r>
        <w:rPr>
          <w:rFonts w:hint="eastAsia" w:ascii="宋体" w:hAnsi="Wingdings" w:cs="宋体"/>
          <w:b/>
          <w:color w:val="000000"/>
          <w:kern w:val="0"/>
        </w:rPr>
        <w:t>管理人有权拒绝超过本理财产品规模上限部分的申购申请。</w:t>
      </w:r>
    </w:p>
    <w:p>
      <w:pPr>
        <w:spacing w:line="520" w:lineRule="exact"/>
        <w:ind w:firstLine="424" w:firstLineChars="202"/>
        <w:rPr>
          <w:rFonts w:hint="eastAsia" w:ascii="宋体" w:hAnsi="Wingdings" w:cs="Times New Roman"/>
          <w:color w:val="000000"/>
          <w:kern w:val="0"/>
        </w:rPr>
      </w:pPr>
      <w:bookmarkStart w:id="2" w:name="_Hlk37709561"/>
      <w:r>
        <w:rPr>
          <w:rFonts w:hint="eastAsia" w:ascii="宋体" w:hAnsi="Wingdings" w:cs="宋体"/>
          <w:color w:val="000000"/>
          <w:kern w:val="0"/>
        </w:rPr>
        <w:t>（三）</w:t>
      </w:r>
      <w:bookmarkEnd w:id="2"/>
      <w:r>
        <w:rPr>
          <w:rFonts w:hint="eastAsia" w:ascii="宋体" w:hAnsi="Wingdings" w:cs="宋体"/>
          <w:color w:val="000000"/>
          <w:kern w:val="0"/>
        </w:rPr>
        <w:t>交易确认和到账时间</w:t>
      </w:r>
    </w:p>
    <w:p>
      <w:pPr>
        <w:pStyle w:val="29"/>
        <w:numPr>
          <w:ilvl w:val="0"/>
          <w:numId w:val="9"/>
        </w:numPr>
        <w:spacing w:line="520" w:lineRule="exact"/>
        <w:ind w:firstLineChars="0"/>
        <w:rPr>
          <w:rFonts w:hint="eastAsia" w:ascii="宋体" w:hAnsi="Wingdings" w:cs="Times New Roman"/>
          <w:color w:val="000000"/>
          <w:kern w:val="0"/>
        </w:rPr>
      </w:pPr>
      <w:r>
        <w:rPr>
          <w:rFonts w:hint="eastAsia" w:ascii="宋体" w:hAnsi="Wingdings" w:cs="宋体"/>
          <w:color w:val="000000"/>
          <w:kern w:val="0"/>
        </w:rPr>
        <w:t>在本产品的首次认购期和每一次开放期内，投资者提出认购或申购申请将在成立日或本次开放期后的第一个确认日进行确认。</w:t>
      </w:r>
    </w:p>
    <w:p>
      <w:pPr>
        <w:pStyle w:val="29"/>
        <w:numPr>
          <w:ilvl w:val="0"/>
          <w:numId w:val="9"/>
        </w:numPr>
        <w:spacing w:line="520" w:lineRule="exact"/>
        <w:ind w:firstLineChars="0"/>
        <w:rPr>
          <w:rFonts w:hint="eastAsia" w:ascii="宋体" w:hAnsi="Wingdings" w:cs="Times New Roman"/>
          <w:color w:val="000000"/>
          <w:kern w:val="0"/>
        </w:rPr>
      </w:pPr>
      <w:r>
        <w:rPr>
          <w:rFonts w:hint="eastAsia" w:ascii="宋体" w:hAnsi="Wingdings" w:cs="宋体"/>
          <w:color w:val="000000"/>
          <w:kern w:val="0"/>
        </w:rPr>
        <w:t>投资者在下一个确认日前一日17:00之前提出的赎回申请，将在下一个确认日确认，赎回资金将在确认日后3个工作日内到账。</w:t>
      </w:r>
    </w:p>
    <w:p>
      <w:pPr>
        <w:pStyle w:val="29"/>
        <w:spacing w:line="520" w:lineRule="exact"/>
        <w:ind w:firstLineChars="0"/>
        <w:rPr>
          <w:rFonts w:hint="eastAsia" w:ascii="宋体" w:hAnsi="Wingdings" w:cs="宋体"/>
          <w:color w:val="000000"/>
          <w:kern w:val="0"/>
        </w:rPr>
      </w:pPr>
      <w:r>
        <w:rPr>
          <w:rFonts w:hint="eastAsia" w:ascii="宋体" w:hAnsi="Wingdings" w:cs="宋体"/>
          <w:color w:val="000000"/>
          <w:kern w:val="0"/>
        </w:rPr>
        <w:t>(四) 巨额赎回及处理：</w:t>
      </w:r>
    </w:p>
    <w:p>
      <w:pPr>
        <w:pStyle w:val="29"/>
        <w:numPr>
          <w:ilvl w:val="0"/>
          <w:numId w:val="10"/>
        </w:numPr>
        <w:spacing w:line="520" w:lineRule="exact"/>
        <w:ind w:firstLineChars="0"/>
        <w:rPr>
          <w:rFonts w:hint="eastAsia" w:ascii="宋体" w:hAnsi="Wingdings" w:cs="宋体"/>
          <w:color w:val="000000"/>
          <w:kern w:val="0"/>
        </w:rPr>
      </w:pPr>
      <w:r>
        <w:rPr>
          <w:rFonts w:hint="eastAsia" w:ascii="宋体" w:hAnsi="Wingdings" w:cs="宋体"/>
          <w:color w:val="000000"/>
          <w:kern w:val="0"/>
        </w:rPr>
        <w:t>巨额</w:t>
      </w:r>
      <w:r>
        <w:rPr>
          <w:rFonts w:hint="eastAsia" w:ascii="宋体" w:hAnsi="Wingdings" w:cs="Times New Roman"/>
          <w:color w:val="000000"/>
          <w:kern w:val="0"/>
        </w:rPr>
        <w:t>赎</w:t>
      </w:r>
      <w:r>
        <w:rPr>
          <w:rFonts w:hint="eastAsia" w:ascii="宋体" w:hAnsi="Wingdings" w:cs="宋体"/>
          <w:color w:val="000000"/>
          <w:kern w:val="0"/>
        </w:rPr>
        <w:t>回认定：确认日理财计划净赎回申请份额（赎回申请总份额扣除申购申请总份额后的余额）超过上一确认日日终总份额的10%时，即构成巨额赎回。</w:t>
      </w:r>
    </w:p>
    <w:p>
      <w:pPr>
        <w:pStyle w:val="29"/>
        <w:numPr>
          <w:ilvl w:val="0"/>
          <w:numId w:val="10"/>
        </w:numPr>
        <w:spacing w:line="520" w:lineRule="exact"/>
        <w:ind w:firstLineChars="0"/>
        <w:rPr>
          <w:rFonts w:hint="eastAsia" w:ascii="宋体" w:hAnsi="Wingdings" w:cs="宋体"/>
          <w:color w:val="000000"/>
          <w:kern w:val="0"/>
        </w:rPr>
      </w:pPr>
      <w:r>
        <w:rPr>
          <w:rFonts w:hint="eastAsia" w:ascii="宋体" w:hAnsi="Wingdings" w:cs="宋体"/>
          <w:color w:val="000000"/>
          <w:kern w:val="0"/>
        </w:rPr>
        <w:t>巨额赎回处理：当出现巨额赎回时，管理人可以根据资产组合状况决定采取全额赎回或拒绝超出部分的赎回申请。</w:t>
      </w:r>
    </w:p>
    <w:p>
      <w:pPr>
        <w:pStyle w:val="29"/>
        <w:numPr>
          <w:ilvl w:val="0"/>
          <w:numId w:val="10"/>
        </w:numPr>
        <w:spacing w:line="520" w:lineRule="exact"/>
        <w:ind w:firstLineChars="0"/>
        <w:rPr>
          <w:rFonts w:hint="eastAsia" w:ascii="宋体" w:hAnsi="Wingdings" w:cs="宋体"/>
          <w:color w:val="000000"/>
          <w:kern w:val="0"/>
        </w:rPr>
      </w:pPr>
      <w:r>
        <w:rPr>
          <w:rFonts w:hint="eastAsia" w:ascii="宋体" w:hAnsi="Wingdings" w:cs="宋体"/>
          <w:color w:val="000000"/>
          <w:kern w:val="0"/>
        </w:rPr>
        <w:t>全额赎回：当管理人认为全额兑付投资者的赎回申请将不会对本理财计划净值造成较大波动或给本理财计划造成重大损失时，按正常赎回程序执行。</w:t>
      </w:r>
    </w:p>
    <w:p>
      <w:pPr>
        <w:pStyle w:val="29"/>
        <w:numPr>
          <w:ilvl w:val="0"/>
          <w:numId w:val="10"/>
        </w:numPr>
        <w:spacing w:line="520" w:lineRule="exact"/>
        <w:ind w:firstLineChars="0"/>
        <w:rPr>
          <w:rFonts w:hint="eastAsia" w:ascii="宋体" w:hAnsi="Wingdings" w:cs="Times New Roman"/>
          <w:color w:val="000000"/>
          <w:kern w:val="0"/>
        </w:rPr>
      </w:pPr>
      <w:r>
        <w:rPr>
          <w:rFonts w:hint="eastAsia" w:ascii="宋体" w:hAnsi="Wingdings" w:cs="宋体"/>
          <w:color w:val="000000"/>
          <w:kern w:val="0"/>
        </w:rPr>
        <w:t>拒绝超出部分的赎回申请：当管理人认为全部满足投资者的赎回申请可能会对本理财计划造成重大损失或可能会对理财计划净值造成较大波动时，在当日接受赎回比例不低于理财计划上一确认日日终总份额的10％的前提下，对其余赎回申请予以拒绝，但投资者可于下一开放期重新进行赎回申请。</w:t>
      </w:r>
    </w:p>
    <w:p>
      <w:pPr>
        <w:pStyle w:val="29"/>
        <w:numPr>
          <w:ilvl w:val="0"/>
          <w:numId w:val="10"/>
        </w:numPr>
        <w:spacing w:line="520" w:lineRule="exact"/>
        <w:ind w:firstLineChars="0"/>
        <w:rPr>
          <w:rFonts w:hint="eastAsia" w:ascii="宋体" w:hAnsi="Wingdings" w:cs="Times New Roman"/>
          <w:b/>
          <w:bCs/>
          <w:color w:val="000000"/>
          <w:kern w:val="0"/>
        </w:rPr>
      </w:pPr>
      <w:r>
        <w:rPr>
          <w:rFonts w:hint="eastAsia" w:ascii="宋体" w:hAnsi="Wingdings" w:cs="宋体"/>
          <w:b/>
          <w:bCs/>
          <w:color w:val="000000"/>
          <w:kern w:val="0"/>
        </w:rPr>
        <w:t>发生下述情形之一的，管理人有权暂停接受投资者的赎回申请：</w:t>
      </w:r>
    </w:p>
    <w:p>
      <w:pPr>
        <w:pStyle w:val="29"/>
        <w:spacing w:line="520" w:lineRule="exact"/>
        <w:ind w:left="844" w:firstLine="0" w:firstLineChars="0"/>
        <w:rPr>
          <w:rFonts w:hint="eastAsia" w:ascii="宋体" w:hAnsi="Wingdings" w:cs="Times New Roman"/>
          <w:b/>
          <w:color w:val="000000"/>
          <w:kern w:val="0"/>
        </w:rPr>
      </w:pPr>
      <w:r>
        <w:rPr>
          <w:rFonts w:hint="eastAsia" w:ascii="宋体" w:hAnsi="Wingdings" w:cs="宋体"/>
          <w:b/>
          <w:color w:val="000000"/>
          <w:kern w:val="0"/>
        </w:rPr>
        <w:t>（1）因不可抗力导致管理人不能支付赎回款项；</w:t>
      </w:r>
    </w:p>
    <w:p>
      <w:pPr>
        <w:pStyle w:val="29"/>
        <w:spacing w:line="520" w:lineRule="exact"/>
        <w:ind w:left="844" w:firstLine="0" w:firstLineChars="0"/>
        <w:rPr>
          <w:rFonts w:hint="eastAsia" w:ascii="宋体" w:hAnsi="Wingdings" w:cs="Times New Roman"/>
          <w:b/>
          <w:color w:val="000000"/>
          <w:kern w:val="0"/>
        </w:rPr>
      </w:pPr>
      <w:r>
        <w:rPr>
          <w:rFonts w:hint="eastAsia" w:ascii="宋体" w:hAnsi="Wingdings" w:cs="宋体"/>
          <w:b/>
          <w:color w:val="000000"/>
          <w:kern w:val="0"/>
        </w:rPr>
        <w:t>（2）产品连续两个确认日发生巨额赎回，管理人可暂停接受赎回申请；</w:t>
      </w:r>
    </w:p>
    <w:p>
      <w:pPr>
        <w:pStyle w:val="29"/>
        <w:spacing w:line="520" w:lineRule="exact"/>
        <w:ind w:left="844" w:firstLine="0" w:firstLineChars="0"/>
        <w:rPr>
          <w:rFonts w:hint="eastAsia" w:ascii="宋体" w:hAnsi="Wingdings" w:cs="Times New Roman"/>
          <w:b/>
          <w:color w:val="000000"/>
          <w:kern w:val="0"/>
        </w:rPr>
      </w:pPr>
      <w:r>
        <w:rPr>
          <w:rFonts w:hint="eastAsia" w:ascii="宋体" w:hAnsi="Wingdings" w:cs="宋体"/>
          <w:b/>
          <w:color w:val="000000"/>
          <w:kern w:val="0"/>
        </w:rPr>
        <w:t>（3）法律、法规规定或监管部门认定的其它情形。</w:t>
      </w:r>
    </w:p>
    <w:p>
      <w:pPr>
        <w:pStyle w:val="29"/>
        <w:numPr>
          <w:ilvl w:val="0"/>
          <w:numId w:val="10"/>
        </w:numPr>
        <w:spacing w:line="520" w:lineRule="exact"/>
        <w:ind w:firstLineChars="0"/>
        <w:rPr>
          <w:rFonts w:hint="eastAsia" w:ascii="宋体" w:hAnsi="Wingdings" w:cs="Times New Roman"/>
          <w:color w:val="000000"/>
          <w:kern w:val="0"/>
        </w:rPr>
      </w:pPr>
      <w:r>
        <w:rPr>
          <w:rFonts w:hint="eastAsia" w:ascii="宋体" w:hAnsi="Wingdings" w:cs="宋体"/>
          <w:color w:val="000000"/>
          <w:kern w:val="0"/>
        </w:rPr>
        <w:t>在理财产品存续期内出现暂停接受投资者的赎回申请情况，对于已经确认的赎回申请可以延缓支付赎回款项，但不得超过正常支付时间5个工作日，并应当进行信息披露；在暂停赎回的情况消除时，管理人应及时恢复赎回业务的办理。暂停期间结束，产品重新开放时，管理人应当披露最新的产品单位净值。</w:t>
      </w:r>
    </w:p>
    <w:p>
      <w:pPr>
        <w:pStyle w:val="29"/>
        <w:numPr>
          <w:ilvl w:val="0"/>
          <w:numId w:val="10"/>
        </w:numPr>
        <w:spacing w:line="520" w:lineRule="exact"/>
        <w:ind w:firstLineChars="0"/>
        <w:rPr>
          <w:rFonts w:hint="eastAsia" w:ascii="宋体" w:hAnsi="Wingdings" w:cs="Times New Roman"/>
          <w:color w:val="000000"/>
          <w:kern w:val="0"/>
        </w:rPr>
      </w:pPr>
      <w:r>
        <w:rPr>
          <w:rFonts w:hint="eastAsia" w:ascii="宋体" w:hAnsi="Wingdings" w:cs="宋体"/>
          <w:color w:val="000000"/>
          <w:kern w:val="0"/>
        </w:rPr>
        <w:t>在理财产品存续期内，管理人有权根据市场情况调整巨额赎回金额比例，并及时通过管理人或者销售机构网站进行公告。</w:t>
      </w:r>
    </w:p>
    <w:p>
      <w:pPr>
        <w:pStyle w:val="34"/>
        <w:numPr>
          <w:ilvl w:val="0"/>
          <w:numId w:val="11"/>
        </w:numPr>
        <w:spacing w:line="520" w:lineRule="exact"/>
        <w:ind w:firstLineChars="0"/>
        <w:rPr>
          <w:rFonts w:hint="eastAsia" w:ascii="宋体" w:hAnsi="Wingdings" w:cs="Times New Roman"/>
          <w:color w:val="000000"/>
          <w:kern w:val="0"/>
        </w:rPr>
      </w:pPr>
      <w:r>
        <w:rPr>
          <w:rFonts w:hint="eastAsia" w:ascii="宋体" w:hAnsi="Wingdings" w:cs="宋体"/>
          <w:color w:val="000000"/>
          <w:kern w:val="0"/>
        </w:rPr>
        <w:t>兑付及税收</w:t>
      </w:r>
    </w:p>
    <w:p>
      <w:pPr>
        <w:pStyle w:val="29"/>
        <w:numPr>
          <w:ilvl w:val="0"/>
          <w:numId w:val="12"/>
        </w:numPr>
        <w:spacing w:line="520" w:lineRule="exact"/>
        <w:ind w:firstLineChars="0"/>
        <w:rPr>
          <w:rFonts w:hint="eastAsia" w:ascii="宋体" w:hAnsi="Wingdings" w:cs="Times New Roman"/>
          <w:b/>
          <w:color w:val="000000"/>
          <w:kern w:val="0"/>
        </w:rPr>
      </w:pPr>
      <w:r>
        <w:rPr>
          <w:rFonts w:hint="eastAsia" w:ascii="宋体" w:hAnsi="Wingdings" w:cs="宋体"/>
          <w:b/>
          <w:color w:val="000000"/>
          <w:kern w:val="0"/>
        </w:rPr>
        <w:t>终止权的行使：本理财产品发生全部终止时，管理人可以通过公告通知投资者全部兑付本理财产品，并按约定将可兑付款项支付给投资者。</w:t>
      </w:r>
    </w:p>
    <w:p>
      <w:pPr>
        <w:pStyle w:val="29"/>
        <w:numPr>
          <w:ilvl w:val="0"/>
          <w:numId w:val="13"/>
        </w:numPr>
        <w:spacing w:line="520" w:lineRule="exact"/>
        <w:ind w:firstLineChars="0"/>
        <w:rPr>
          <w:rFonts w:hint="eastAsia" w:ascii="宋体" w:hAnsi="Wingdings" w:cs="Times New Roman"/>
          <w:color w:val="000000"/>
          <w:kern w:val="0"/>
        </w:rPr>
      </w:pPr>
      <w:r>
        <w:rPr>
          <w:rFonts w:hint="eastAsia" w:ascii="宋体" w:hAnsi="Wingdings" w:cs="宋体"/>
          <w:color w:val="000000"/>
          <w:kern w:val="0"/>
        </w:rPr>
        <w:t>资金清算：</w:t>
      </w:r>
      <w:r>
        <w:rPr>
          <w:rFonts w:hint="eastAsia" w:ascii="宋体" w:hAnsi="Wingdings" w:cs="宋体"/>
          <w:b/>
          <w:color w:val="000000"/>
          <w:kern w:val="0"/>
        </w:rPr>
        <w:t>理财产品确认日和终止日（实际到期日）后3个工作日为资金清算期，该期间不计付利息及理财收益。</w:t>
      </w:r>
    </w:p>
    <w:p>
      <w:pPr>
        <w:pStyle w:val="29"/>
        <w:numPr>
          <w:ilvl w:val="0"/>
          <w:numId w:val="13"/>
        </w:numPr>
        <w:spacing w:line="520" w:lineRule="exact"/>
        <w:ind w:firstLineChars="0"/>
        <w:rPr>
          <w:rFonts w:hint="eastAsia" w:ascii="宋体" w:hAnsi="Wingdings" w:cs="Times New Roman"/>
          <w:color w:val="000000"/>
          <w:kern w:val="0"/>
        </w:rPr>
      </w:pPr>
      <w:r>
        <w:rPr>
          <w:rFonts w:hint="eastAsia" w:ascii="宋体" w:hAnsi="Wingdings" w:cs="宋体"/>
          <w:color w:val="000000"/>
          <w:kern w:val="0"/>
        </w:rPr>
        <w:t>税费规定：理财计划财产在管理、运用、处分过程中产生的税费（包括但不限于增值税及相应的附加税费等），由理财计划财产承担；管理人对该等税费无垫付义务。前述税费（包括但不限于增值税及相应附加税费）的计算、提取及缴纳，由管理人按照应税行为发生时有效的相关法律法规的规定执行。支付给投资者的理财收益的应纳税款由投资者自行申报及缴纳。</w:t>
      </w:r>
    </w:p>
    <w:p>
      <w:pPr>
        <w:pStyle w:val="34"/>
        <w:numPr>
          <w:ilvl w:val="0"/>
          <w:numId w:val="11"/>
        </w:numPr>
        <w:spacing w:line="520" w:lineRule="exact"/>
        <w:ind w:firstLineChars="0"/>
        <w:rPr>
          <w:rFonts w:hint="eastAsia" w:ascii="宋体" w:hAnsi="Wingdings" w:cs="Times New Roman"/>
          <w:color w:val="000000"/>
          <w:kern w:val="0"/>
        </w:rPr>
      </w:pPr>
      <w:r>
        <w:rPr>
          <w:rFonts w:hint="eastAsia" w:ascii="宋体" w:hAnsi="Wingdings" w:cs="宋体"/>
          <w:color w:val="000000"/>
          <w:kern w:val="0"/>
        </w:rPr>
        <w:t>产品的终止</w:t>
      </w:r>
    </w:p>
    <w:p>
      <w:pPr>
        <w:pStyle w:val="29"/>
        <w:numPr>
          <w:ilvl w:val="0"/>
          <w:numId w:val="14"/>
        </w:numPr>
        <w:spacing w:line="520" w:lineRule="exact"/>
        <w:ind w:firstLineChars="0"/>
        <w:rPr>
          <w:rFonts w:hint="eastAsia" w:ascii="宋体" w:hAnsi="Wingdings" w:cs="Times New Roman"/>
          <w:color w:val="000000"/>
          <w:kern w:val="0"/>
        </w:rPr>
      </w:pPr>
      <w:r>
        <w:rPr>
          <w:rFonts w:hint="eastAsia" w:ascii="宋体" w:hAnsi="Wingdings" w:cs="宋体"/>
          <w:color w:val="000000"/>
          <w:kern w:val="0"/>
        </w:rPr>
        <w:t>终止事项</w:t>
      </w:r>
    </w:p>
    <w:p>
      <w:pPr>
        <w:pStyle w:val="29"/>
        <w:spacing w:line="520" w:lineRule="exact"/>
        <w:ind w:left="844" w:firstLine="0" w:firstLineChars="0"/>
        <w:rPr>
          <w:rFonts w:hint="eastAsia" w:ascii="宋体" w:hAnsi="Wingdings" w:cs="Times New Roman"/>
          <w:b/>
          <w:color w:val="000000"/>
          <w:kern w:val="0"/>
        </w:rPr>
      </w:pPr>
      <w:r>
        <w:rPr>
          <w:rFonts w:hint="eastAsia" w:ascii="宋体" w:hAnsi="Wingdings" w:cs="宋体"/>
          <w:b/>
          <w:color w:val="000000"/>
          <w:kern w:val="0"/>
        </w:rPr>
        <w:t>发生以下事项时，管理人可对本理财产品行使全部终止权：</w:t>
      </w:r>
    </w:p>
    <w:p>
      <w:pPr>
        <w:pStyle w:val="29"/>
        <w:spacing w:line="520" w:lineRule="exact"/>
        <w:ind w:left="851" w:firstLine="0" w:firstLineChars="0"/>
        <w:rPr>
          <w:rFonts w:hint="eastAsia" w:ascii="宋体" w:hAnsi="Wingdings" w:cs="Times New Roman"/>
          <w:b/>
          <w:color w:val="000000"/>
          <w:kern w:val="0"/>
        </w:rPr>
      </w:pPr>
      <w:r>
        <w:rPr>
          <w:rFonts w:hint="eastAsia" w:ascii="宋体" w:hAnsi="Wingdings" w:cs="宋体"/>
          <w:b/>
          <w:color w:val="000000"/>
          <w:kern w:val="0"/>
        </w:rPr>
        <w:t>（1）若本理财产品当日规模持续10个工作日（含）低于2000万元时，管理人有权终止本理财产品；</w:t>
      </w:r>
    </w:p>
    <w:p>
      <w:pPr>
        <w:pStyle w:val="29"/>
        <w:spacing w:line="520" w:lineRule="exact"/>
        <w:ind w:left="851" w:firstLine="0" w:firstLineChars="0"/>
        <w:rPr>
          <w:rFonts w:hint="eastAsia" w:ascii="宋体" w:hAnsi="Wingdings" w:cs="Times New Roman"/>
          <w:b/>
          <w:color w:val="000000"/>
          <w:kern w:val="0"/>
        </w:rPr>
      </w:pPr>
      <w:r>
        <w:rPr>
          <w:rFonts w:hint="eastAsia" w:ascii="宋体" w:hAnsi="Wingdings" w:cs="宋体"/>
          <w:b/>
          <w:color w:val="000000"/>
          <w:kern w:val="0"/>
        </w:rPr>
        <w:t>（2）如因本理财产品资产运作模式等与相关政策、法律法规、规章的规定或者监管机构的要求等存在冲突导致理财产品必须提前终止的；</w:t>
      </w:r>
    </w:p>
    <w:p>
      <w:pPr>
        <w:pStyle w:val="29"/>
        <w:spacing w:line="520" w:lineRule="exact"/>
        <w:ind w:left="851" w:firstLine="0" w:firstLineChars="0"/>
        <w:rPr>
          <w:rFonts w:hint="eastAsia" w:ascii="宋体" w:hAnsi="Wingdings" w:cs="Times New Roman"/>
          <w:b/>
          <w:color w:val="000000"/>
          <w:kern w:val="0"/>
        </w:rPr>
      </w:pPr>
      <w:r>
        <w:rPr>
          <w:rFonts w:hint="eastAsia" w:ascii="宋体" w:hAnsi="Wingdings" w:cs="宋体"/>
          <w:b/>
          <w:color w:val="000000"/>
          <w:kern w:val="0"/>
        </w:rPr>
        <w:t>（3）国家有关法律、法规、规章、政策的改变、紧急措施的出台、理财市场环境发生重大变化等导致理财产品必须提前终止的；</w:t>
      </w:r>
    </w:p>
    <w:p>
      <w:pPr>
        <w:pStyle w:val="29"/>
        <w:spacing w:line="520" w:lineRule="exact"/>
        <w:ind w:left="851" w:firstLine="0" w:firstLineChars="0"/>
        <w:rPr>
          <w:rFonts w:hint="eastAsia" w:ascii="宋体" w:hAnsi="Wingdings" w:cs="宋体"/>
          <w:b/>
          <w:color w:val="000000"/>
          <w:kern w:val="0"/>
        </w:rPr>
      </w:pPr>
      <w:r>
        <w:rPr>
          <w:rFonts w:hint="eastAsia" w:ascii="宋体" w:hAnsi="Wingdings" w:cs="宋体"/>
          <w:b/>
          <w:color w:val="000000"/>
          <w:kern w:val="0"/>
        </w:rPr>
        <w:t>（4）因地震、火灾、战争、罢工等不可抗力因素导致本理财产品必须提前终止的；</w:t>
      </w:r>
    </w:p>
    <w:p>
      <w:pPr>
        <w:pStyle w:val="29"/>
        <w:spacing w:line="520" w:lineRule="exact"/>
        <w:ind w:left="851" w:firstLine="0" w:firstLineChars="0"/>
        <w:rPr>
          <w:rFonts w:hint="eastAsia" w:ascii="宋体" w:hAnsi="Wingdings" w:cs="宋体"/>
          <w:b/>
          <w:color w:val="000000"/>
          <w:kern w:val="0"/>
        </w:rPr>
      </w:pPr>
      <w:r>
        <w:rPr>
          <w:rFonts w:hint="eastAsia" w:ascii="宋体" w:hAnsi="Wingdings" w:cs="宋体"/>
          <w:b/>
          <w:color w:val="000000"/>
          <w:kern w:val="0"/>
        </w:rPr>
        <w:t>（5）管理人认为应该提前终止本理财产品的其他情况。</w:t>
      </w:r>
    </w:p>
    <w:p>
      <w:pPr>
        <w:pStyle w:val="29"/>
        <w:spacing w:line="520" w:lineRule="exact"/>
        <w:ind w:firstLineChars="0"/>
        <w:rPr>
          <w:rFonts w:hint="eastAsia" w:ascii="宋体" w:hAnsi="Wingdings" w:cs="Times New Roman"/>
          <w:color w:val="000000"/>
          <w:kern w:val="0"/>
        </w:rPr>
      </w:pPr>
      <w:r>
        <w:rPr>
          <w:rFonts w:hint="eastAsia" w:ascii="宋体" w:hAnsi="Wingdings" w:cs="宋体"/>
          <w:color w:val="000000"/>
          <w:kern w:val="0"/>
        </w:rPr>
        <w:t>2． 终止的信息公告</w:t>
      </w:r>
    </w:p>
    <w:p>
      <w:pPr>
        <w:pStyle w:val="29"/>
        <w:spacing w:line="520" w:lineRule="exact"/>
        <w:ind w:left="844" w:firstLine="0" w:firstLineChars="0"/>
        <w:rPr>
          <w:rFonts w:hint="eastAsia" w:ascii="宋体" w:hAnsi="Wingdings" w:cs="宋体"/>
          <w:b/>
          <w:color w:val="000000"/>
          <w:kern w:val="0"/>
        </w:rPr>
      </w:pPr>
      <w:r>
        <w:rPr>
          <w:rFonts w:hint="eastAsia" w:ascii="宋体" w:hAnsi="Wingdings" w:cs="宋体"/>
          <w:b/>
          <w:color w:val="000000"/>
          <w:kern w:val="0"/>
        </w:rPr>
        <w:t>如遇本理财产品终止事项，管理人将提前1个工作日通过管理人或销售机构网站及时公告相关信息，敬请予以关注。</w:t>
      </w:r>
    </w:p>
    <w:p>
      <w:pPr>
        <w:pStyle w:val="8"/>
        <w:spacing w:before="0" w:after="0" w:line="520" w:lineRule="exact"/>
        <w:ind w:left="318" w:hanging="318"/>
        <w:jc w:val="both"/>
        <w:rPr>
          <w:rFonts w:cs="宋体"/>
          <w:sz w:val="28"/>
          <w:szCs w:val="28"/>
        </w:rPr>
      </w:pPr>
      <w:r>
        <w:rPr>
          <w:rFonts w:hint="eastAsia" w:cs="宋体"/>
          <w:sz w:val="28"/>
          <w:szCs w:val="28"/>
        </w:rPr>
        <w:t>九、信息披露</w:t>
      </w:r>
    </w:p>
    <w:p>
      <w:pPr>
        <w:pStyle w:val="30"/>
        <w:numPr>
          <w:ilvl w:val="0"/>
          <w:numId w:val="15"/>
        </w:numPr>
        <w:tabs>
          <w:tab w:val="left" w:pos="0"/>
        </w:tabs>
        <w:adjustRightInd/>
        <w:spacing w:line="520" w:lineRule="exact"/>
        <w:ind w:left="0" w:firstLine="424" w:firstLineChars="202"/>
        <w:rPr>
          <w:rFonts w:hint="eastAsia" w:ascii="宋体" w:cs="Times New Roman"/>
          <w:sz w:val="21"/>
          <w:szCs w:val="21"/>
        </w:rPr>
      </w:pPr>
      <w:r>
        <w:rPr>
          <w:rFonts w:hint="eastAsia" w:ascii="宋体" w:cs="宋体"/>
          <w:sz w:val="21"/>
          <w:szCs w:val="21"/>
        </w:rPr>
        <w:t>本理财计划信息披露通过管理人或销售机构网站公告或其他形式进行披露。</w:t>
      </w:r>
    </w:p>
    <w:p>
      <w:pPr>
        <w:pStyle w:val="30"/>
        <w:numPr>
          <w:ilvl w:val="0"/>
          <w:numId w:val="15"/>
        </w:numPr>
        <w:tabs>
          <w:tab w:val="left" w:pos="0"/>
        </w:tabs>
        <w:adjustRightInd/>
        <w:spacing w:line="520" w:lineRule="exact"/>
        <w:ind w:left="0" w:firstLine="424" w:firstLineChars="202"/>
        <w:rPr>
          <w:rFonts w:ascii="宋体" w:hAnsi="宋体" w:cs="宋体"/>
          <w:sz w:val="21"/>
          <w:szCs w:val="21"/>
        </w:rPr>
      </w:pPr>
      <w:r>
        <w:rPr>
          <w:rFonts w:hint="eastAsia" w:ascii="宋体" w:hAnsi="宋体" w:cs="宋体"/>
          <w:sz w:val="21"/>
          <w:szCs w:val="21"/>
        </w:rPr>
        <w:t>管理人会在理财计划成立后5日内披露发行公告，本产品成立后</w:t>
      </w:r>
      <w:r>
        <w:rPr>
          <w:rFonts w:hint="eastAsia" w:ascii="宋体" w:cs="宋体"/>
          <w:sz w:val="21"/>
          <w:szCs w:val="21"/>
        </w:rPr>
        <w:t>，管理人会在每个确认日后三个工作日内披露本理财产品净值（扣除本产品各项税费后）。</w:t>
      </w:r>
    </w:p>
    <w:p>
      <w:pPr>
        <w:pStyle w:val="30"/>
        <w:numPr>
          <w:ilvl w:val="0"/>
          <w:numId w:val="15"/>
        </w:numPr>
        <w:tabs>
          <w:tab w:val="left" w:pos="0"/>
        </w:tabs>
        <w:adjustRightInd/>
        <w:spacing w:line="520" w:lineRule="exact"/>
        <w:ind w:left="0" w:firstLine="424" w:firstLineChars="202"/>
        <w:rPr>
          <w:rFonts w:ascii="宋体" w:hAnsi="宋体" w:cs="宋体"/>
          <w:sz w:val="21"/>
          <w:szCs w:val="21"/>
        </w:rPr>
      </w:pPr>
      <w:r>
        <w:rPr>
          <w:rFonts w:hint="eastAsia" w:ascii="宋体" w:hAnsi="宋体" w:cs="宋体"/>
          <w:sz w:val="21"/>
          <w:szCs w:val="21"/>
        </w:rPr>
        <w:t>管理人在每季度结束之日起15个工作日、上半年结束之日起60个工作日内、每年结束之日起90个工作日内编制完成理财计划的季度、半年和年度报告等运行报告。向投资者披露当期存续规模、收益表现，并分别列示本理财计划投资的资产种类、投资比例、投资组合的流动性风险分析等资产情况，并将运行报告正文通过管理人或销售机构网站披露。理财产品成立不足90个工作日或者存续期不超过90个工作日的，不编制理财产品当期的季度、半年和年度报告。</w:t>
      </w:r>
    </w:p>
    <w:p>
      <w:pPr>
        <w:pStyle w:val="30"/>
        <w:numPr>
          <w:ilvl w:val="0"/>
          <w:numId w:val="15"/>
        </w:numPr>
        <w:tabs>
          <w:tab w:val="left" w:pos="0"/>
        </w:tabs>
        <w:adjustRightInd/>
        <w:spacing w:line="520" w:lineRule="exact"/>
        <w:ind w:left="0" w:firstLine="424" w:firstLineChars="202"/>
        <w:rPr>
          <w:rFonts w:ascii="宋体" w:hAnsi="宋体" w:cs="宋体"/>
          <w:sz w:val="21"/>
          <w:szCs w:val="21"/>
        </w:rPr>
      </w:pPr>
      <w:r>
        <w:rPr>
          <w:rFonts w:hint="eastAsia" w:ascii="宋体" w:hAnsi="宋体" w:cs="宋体"/>
          <w:sz w:val="21"/>
          <w:szCs w:val="21"/>
        </w:rPr>
        <w:t>管理人会在理财计划发生投资资产存在重大风险、理财计划要素发生较大改变、监管政策发生变化等通过管理人判断会影响本理财计划的收益或运作情况时，及时发布不定期或临时公告。</w:t>
      </w:r>
    </w:p>
    <w:p>
      <w:pPr>
        <w:pStyle w:val="30"/>
        <w:numPr>
          <w:ilvl w:val="0"/>
          <w:numId w:val="15"/>
        </w:numPr>
        <w:tabs>
          <w:tab w:val="left" w:pos="0"/>
        </w:tabs>
        <w:adjustRightInd/>
        <w:spacing w:line="520" w:lineRule="exact"/>
        <w:ind w:left="0" w:firstLine="424" w:firstLineChars="202"/>
        <w:rPr>
          <w:rFonts w:ascii="宋体" w:hAnsi="宋体" w:cs="宋体"/>
          <w:sz w:val="21"/>
          <w:szCs w:val="21"/>
        </w:rPr>
      </w:pPr>
      <w:r>
        <w:rPr>
          <w:rFonts w:hint="eastAsia" w:ascii="宋体" w:hAnsi="宋体" w:cs="宋体"/>
          <w:sz w:val="21"/>
          <w:szCs w:val="21"/>
        </w:rPr>
        <w:t>管理人如在特定情况下终止本产品，将于实际终止日前至少1个工作日，在管理人或销售机构网站发布相关信息公告。在理财产品终止日后5日内披露到期公告。</w:t>
      </w:r>
    </w:p>
    <w:p>
      <w:pPr>
        <w:pStyle w:val="30"/>
        <w:numPr>
          <w:ilvl w:val="0"/>
          <w:numId w:val="15"/>
        </w:numPr>
        <w:tabs>
          <w:tab w:val="left" w:pos="0"/>
        </w:tabs>
        <w:adjustRightInd/>
        <w:spacing w:line="520" w:lineRule="exact"/>
        <w:ind w:left="0" w:firstLine="424" w:firstLineChars="202"/>
        <w:rPr>
          <w:rFonts w:hint="eastAsia" w:ascii="宋体" w:cs="Times New Roman"/>
          <w:sz w:val="21"/>
          <w:szCs w:val="21"/>
        </w:rPr>
      </w:pPr>
      <w:r>
        <w:rPr>
          <w:rFonts w:hint="eastAsia" w:ascii="宋体" w:cs="宋体"/>
          <w:sz w:val="21"/>
          <w:szCs w:val="21"/>
        </w:rPr>
        <w:t>管理人将在理财期内在管理人或销售机构网站对本产品说明书予以公示，若投资者持有的销售文件与网站公示的产品说明书不一致，应以网站公示为准。</w:t>
      </w:r>
    </w:p>
    <w:p>
      <w:pPr>
        <w:pStyle w:val="30"/>
        <w:numPr>
          <w:ilvl w:val="0"/>
          <w:numId w:val="15"/>
        </w:numPr>
        <w:tabs>
          <w:tab w:val="left" w:pos="0"/>
        </w:tabs>
        <w:adjustRightInd/>
        <w:spacing w:line="520" w:lineRule="exact"/>
        <w:ind w:left="0" w:firstLine="424" w:firstLineChars="202"/>
        <w:rPr>
          <w:rFonts w:hint="eastAsia" w:ascii="宋体" w:cs="Times New Roman"/>
          <w:sz w:val="21"/>
          <w:szCs w:val="21"/>
        </w:rPr>
      </w:pPr>
      <w:r>
        <w:rPr>
          <w:rFonts w:hint="eastAsia" w:ascii="宋体" w:cs="宋体"/>
          <w:sz w:val="21"/>
          <w:szCs w:val="21"/>
        </w:rPr>
        <w:t>本理财产品说明书在法律许可的范围内由管理人负责解释。若投资者对本理财说明书的内容有任何疑问或异议，请致电投资者服务热线咨询、投诉。投资者在投资前，请仔细阅读本产品说明书，并作出独立的投资决策。</w:t>
      </w:r>
    </w:p>
    <w:p>
      <w:pPr>
        <w:pStyle w:val="8"/>
        <w:spacing w:before="0" w:after="0" w:line="520" w:lineRule="exact"/>
        <w:jc w:val="both"/>
        <w:rPr>
          <w:sz w:val="28"/>
          <w:szCs w:val="28"/>
        </w:rPr>
      </w:pPr>
      <w:r>
        <w:rPr>
          <w:rFonts w:hint="eastAsia" w:cs="宋体"/>
          <w:sz w:val="28"/>
          <w:szCs w:val="28"/>
        </w:rPr>
        <w:t>十、风险揭示及管控措施</w:t>
      </w:r>
    </w:p>
    <w:p>
      <w:pPr>
        <w:spacing w:line="520" w:lineRule="exact"/>
        <w:ind w:firstLine="426" w:firstLineChars="202"/>
        <w:rPr>
          <w:rFonts w:hint="eastAsia" w:ascii="宋体" w:hAnsi="Wingdings" w:cs="Times New Roman"/>
          <w:b/>
          <w:bCs/>
          <w:color w:val="000000"/>
          <w:kern w:val="0"/>
        </w:rPr>
      </w:pPr>
      <w:r>
        <w:rPr>
          <w:rFonts w:hint="eastAsia" w:ascii="宋体" w:hAnsi="Wingdings" w:cs="宋体"/>
          <w:b/>
          <w:bCs/>
          <w:color w:val="000000"/>
          <w:kern w:val="0"/>
        </w:rPr>
        <w:t>本理财计划为非保本净值型产品，管理人不对本理财计划承诺保本或保证收益，您应充分认识投资风险，谨慎投资：</w:t>
      </w:r>
    </w:p>
    <w:p>
      <w:pPr>
        <w:spacing w:line="520" w:lineRule="exact"/>
        <w:ind w:firstLine="426" w:firstLineChars="202"/>
        <w:rPr>
          <w:rFonts w:hint="eastAsia" w:ascii="宋体" w:hAnsi="Wingdings" w:cs="Times New Roman"/>
          <w:b/>
          <w:color w:val="000000"/>
          <w:kern w:val="0"/>
        </w:rPr>
      </w:pPr>
      <w:r>
        <w:rPr>
          <w:rFonts w:hint="eastAsia" w:ascii="宋体" w:hAnsi="Wingdings" w:cs="宋体"/>
          <w:b/>
          <w:color w:val="000000"/>
          <w:kern w:val="0"/>
        </w:rPr>
        <w:t>（一）信用风险：本理财产品为非保本净值型产品，不保证本金安全及收益兑付。本产品的本金收回及收益实现情况根据所投资资产组合的运作情况而定。资产组合运作容易受到宏观经济形势、行业政策变化、所投资标的资产相关债务人信用状况变动、相关债务人违约等方面的影响，由此产生本金损失和收益不确定性的风险，该等风险由投资者自行承担。在最不利的情况下，投资者有可能损失全部本金。</w:t>
      </w:r>
    </w:p>
    <w:p>
      <w:pPr>
        <w:spacing w:line="520" w:lineRule="exact"/>
        <w:ind w:firstLine="426" w:firstLineChars="202"/>
        <w:rPr>
          <w:rFonts w:hint="eastAsia" w:ascii="宋体" w:hAnsi="Wingdings" w:cs="Times New Roman"/>
          <w:b/>
          <w:color w:val="000000"/>
          <w:kern w:val="0"/>
        </w:rPr>
      </w:pPr>
      <w:r>
        <w:rPr>
          <w:rFonts w:hint="eastAsia" w:ascii="宋体" w:hAnsi="Wingdings" w:cs="宋体"/>
          <w:b/>
          <w:color w:val="000000"/>
          <w:kern w:val="0"/>
        </w:rPr>
        <w:t>管控措施：（1）本理财产品管理人尽职履行资产投资及风险管理等相关义务，建立健全理财资产投资的信用风险管理制度，配备信用风险管理人员，实施事前、事中、事后的信用风险管理；（2）对每一项拟投资资产进行事前的信用风险评估，设立授信额度，并限制所投资资产规模在授信额度内；（3）对宏观经济形势、相关政策、所投资资产的相关债务人信用状况密切跟踪、监测和分析，及时采取措施防范和化解信用风险，并做好发生信用风险时的应对准备；（4）合理配置资产比例，科学设置资产组合结构，尽可能降低整个资产组合的信用风险。</w:t>
      </w:r>
    </w:p>
    <w:p>
      <w:pPr>
        <w:spacing w:line="520" w:lineRule="exact"/>
        <w:ind w:firstLine="426" w:firstLineChars="202"/>
        <w:rPr>
          <w:rFonts w:hint="eastAsia" w:ascii="宋体" w:hAnsi="Wingdings" w:cs="宋体"/>
          <w:b/>
          <w:color w:val="000000"/>
          <w:kern w:val="0"/>
        </w:rPr>
      </w:pPr>
      <w:r>
        <w:rPr>
          <w:rFonts w:hint="eastAsia" w:ascii="宋体" w:hAnsi="Wingdings" w:cs="宋体"/>
          <w:b/>
          <w:color w:val="000000"/>
          <w:kern w:val="0"/>
        </w:rPr>
        <w:t xml:space="preserve">（二）市场风险：投资者面临两类市场风险，一是本理财产品项下投资组合在市场利率变动的情况下会引起市场价值的变动，在出清资产时则发生实际收益或损失，从而对投资者本金和理财收益带来不确定性；二是在产品存续期间如遇市场利率提高，其他资产收益率上升，使得购买本理财产品的投资者的机会成本增加，从而带来一定的机会损失。 </w:t>
      </w:r>
    </w:p>
    <w:p>
      <w:pPr>
        <w:spacing w:line="520" w:lineRule="exact"/>
        <w:ind w:firstLine="426" w:firstLineChars="202"/>
        <w:rPr>
          <w:rFonts w:hint="eastAsia" w:ascii="宋体" w:hAnsi="Wingdings" w:cs="Times New Roman"/>
          <w:b/>
          <w:color w:val="000000"/>
          <w:kern w:val="0"/>
        </w:rPr>
      </w:pPr>
      <w:r>
        <w:rPr>
          <w:rFonts w:hint="eastAsia" w:ascii="宋体" w:hAnsi="Wingdings" w:cs="宋体"/>
          <w:b/>
          <w:color w:val="000000"/>
          <w:kern w:val="0"/>
        </w:rPr>
        <w:t>管控措施：对第一类市场风险，本理财产品管理人尽职履行资产投资及风险管理等相关义务，对相关资产实施逐日盯市，在充分研究分析宏观经济走势、货币政策等情况的基础上合理预判市场价格走势，最大限度降低市场风险；对第二类风险，在保证资产组合安全性和流动性的基础上，通过合理的资产运作，提高资产组合收益水平，为投资者带来良好回报，降低投资者的机会成本。</w:t>
      </w:r>
    </w:p>
    <w:p>
      <w:pPr>
        <w:spacing w:line="520" w:lineRule="exact"/>
        <w:ind w:firstLine="426" w:firstLineChars="202"/>
        <w:rPr>
          <w:rFonts w:hint="eastAsia" w:ascii="宋体" w:hAnsi="Wingdings" w:cs="Times New Roman"/>
          <w:b/>
          <w:color w:val="000000"/>
          <w:kern w:val="0"/>
        </w:rPr>
      </w:pPr>
      <w:r>
        <w:rPr>
          <w:rFonts w:hint="eastAsia" w:ascii="宋体" w:hAnsi="Wingdings" w:cs="宋体"/>
          <w:b/>
          <w:color w:val="000000"/>
          <w:kern w:val="0"/>
        </w:rPr>
        <w:t>（三）管理风险：由于管理人或产品投资组合项下相关的管理方受经验、技能等因素的限制，可能会影响对本理财产品或投资资产的管理，导致本产品项下的理财资金遭受损失。</w:t>
      </w:r>
    </w:p>
    <w:p>
      <w:pPr>
        <w:spacing w:line="520" w:lineRule="exact"/>
        <w:ind w:firstLine="426" w:firstLineChars="202"/>
        <w:rPr>
          <w:rFonts w:hint="eastAsia" w:ascii="宋体" w:hAnsi="Wingdings" w:cs="Times New Roman"/>
          <w:b/>
          <w:color w:val="000000"/>
          <w:kern w:val="0"/>
        </w:rPr>
      </w:pPr>
      <w:r>
        <w:rPr>
          <w:rFonts w:hint="eastAsia" w:ascii="宋体" w:hAnsi="Wingdings" w:cs="宋体"/>
          <w:b/>
          <w:color w:val="000000"/>
          <w:kern w:val="0"/>
        </w:rPr>
        <w:t>管控措施：进一步完善管理人理财产品管理的内部流程、架构、制度，加强理财业务的风险管理，提高理财资产运作效率；审慎选择合作机构，建立和健全合作机构的准入机制。</w:t>
      </w:r>
    </w:p>
    <w:p>
      <w:pPr>
        <w:spacing w:line="520" w:lineRule="exact"/>
        <w:ind w:firstLine="426" w:firstLineChars="202"/>
        <w:rPr>
          <w:rFonts w:hint="eastAsia" w:ascii="宋体" w:hAnsi="Wingdings" w:cs="Times New Roman"/>
          <w:b/>
          <w:color w:val="000000"/>
          <w:kern w:val="0"/>
        </w:rPr>
      </w:pPr>
      <w:r>
        <w:rPr>
          <w:rFonts w:hint="eastAsia" w:ascii="宋体" w:hAnsi="Wingdings" w:cs="宋体"/>
          <w:b/>
          <w:color w:val="000000"/>
          <w:kern w:val="0"/>
        </w:rPr>
        <w:t>（四）流动性风险：本理财产品存续期间，投资者只能在本理财产品说明书规定的时间内办理申购与赎回。若遇大额赎回时，管理人有权拒绝赎回申请，可能影响投资者的资金安排，带来流动性风险。</w:t>
      </w:r>
    </w:p>
    <w:p>
      <w:pPr>
        <w:spacing w:line="520" w:lineRule="exact"/>
        <w:ind w:firstLine="422" w:firstLineChars="200"/>
        <w:rPr>
          <w:rFonts w:hint="eastAsia" w:ascii="宋体" w:hAnsi="Wingdings" w:cs="Times New Roman"/>
          <w:b/>
          <w:color w:val="000000"/>
          <w:kern w:val="0"/>
        </w:rPr>
      </w:pPr>
      <w:r>
        <w:rPr>
          <w:rFonts w:hint="eastAsia" w:ascii="宋体" w:hAnsi="Wingdings" w:cs="宋体"/>
          <w:b/>
          <w:color w:val="000000"/>
          <w:kern w:val="0"/>
        </w:rPr>
        <w:t>管控措施：此风险为本产品的固有风险，敬请投资者做好相应准备。管理人会做好流动性管理预案的各项工作，包括但不限于：在理财产品配置资产中对高流动性资产保持较高的比例；通过合理的产品投资期限安排，尽可能实现资产到期的金额和数量在每个工作日保持平滑分布，并针对月末、季末、年末等关键时点可能出现的大额赎回情况，增加在这些时点的到期资产比例；在产品出现净赎回的情况下，首先采用债券质押式正回购向银行间市场成员融入资金的投资策略，保证当日理财的流动性缺口资金，满足产品的兑付需要。</w:t>
      </w:r>
    </w:p>
    <w:p>
      <w:pPr>
        <w:spacing w:line="520" w:lineRule="exact"/>
        <w:ind w:firstLine="426" w:firstLineChars="202"/>
        <w:rPr>
          <w:rFonts w:hint="eastAsia" w:ascii="宋体" w:hAnsi="Wingdings" w:cs="Times New Roman"/>
          <w:b/>
          <w:color w:val="000000"/>
          <w:kern w:val="0"/>
        </w:rPr>
      </w:pPr>
      <w:r>
        <w:rPr>
          <w:rFonts w:hint="eastAsia" w:ascii="宋体" w:hAnsi="Wingdings" w:cs="宋体"/>
          <w:b/>
          <w:color w:val="000000"/>
          <w:kern w:val="0"/>
        </w:rPr>
        <w:t>（五）再投资风险：管理人有权提前终止本理财产品。若管理人在本理财产品存续期内执行提前终止权，投资者将面临资金的再投资风险。</w:t>
      </w:r>
    </w:p>
    <w:p>
      <w:pPr>
        <w:spacing w:line="520" w:lineRule="exact"/>
        <w:ind w:firstLine="426" w:firstLineChars="202"/>
        <w:rPr>
          <w:rFonts w:hint="eastAsia" w:ascii="宋体" w:hAnsi="Wingdings" w:cs="Times New Roman"/>
          <w:b/>
          <w:color w:val="000000"/>
          <w:kern w:val="0"/>
        </w:rPr>
      </w:pPr>
      <w:r>
        <w:rPr>
          <w:rFonts w:hint="eastAsia" w:ascii="宋体" w:hAnsi="Wingdings" w:cs="宋体"/>
          <w:b/>
          <w:color w:val="000000"/>
          <w:kern w:val="0"/>
        </w:rPr>
        <w:t>管控措施：若遇本理财产品提前终止，管理人将提前1个工作日通过管理人或销售机构网站及时公告相关信息，敬请投资者予以关注。</w:t>
      </w:r>
    </w:p>
    <w:p>
      <w:pPr>
        <w:spacing w:line="520" w:lineRule="exact"/>
        <w:ind w:firstLine="426" w:firstLineChars="202"/>
        <w:rPr>
          <w:rFonts w:hint="eastAsia" w:ascii="宋体" w:hAnsi="Wingdings" w:cs="Times New Roman"/>
          <w:b/>
          <w:color w:val="000000"/>
          <w:kern w:val="0"/>
        </w:rPr>
      </w:pPr>
      <w:r>
        <w:rPr>
          <w:rFonts w:hint="eastAsia" w:ascii="宋体" w:hAnsi="Wingdings" w:cs="宋体"/>
          <w:b/>
          <w:color w:val="000000"/>
          <w:kern w:val="0"/>
        </w:rPr>
        <w:t>（六）理财产品不成立风险：如自本理财产品认购起始日至产品成立日前，理财产品认购总金额未达到最低发行规模，或因本理财产品资产运作模式等与法律法规的规定或者监管机构的要求存在冲突，或因国家法律法规或者监管部门发布的通知、决定等导致本理财产品无法按原先约定条件成立，或市场发生剧烈波动、经管理人合理判断难以按照本产品说明书规定向投资者提供本理财产品，管理人有权宣布本理财产品不成立。</w:t>
      </w:r>
    </w:p>
    <w:p>
      <w:pPr>
        <w:spacing w:line="520" w:lineRule="exact"/>
        <w:ind w:firstLine="426" w:firstLineChars="202"/>
        <w:rPr>
          <w:rFonts w:hint="eastAsia" w:ascii="宋体" w:hAnsi="Wingdings" w:cs="Times New Roman"/>
          <w:b/>
          <w:color w:val="000000"/>
          <w:kern w:val="0"/>
        </w:rPr>
      </w:pPr>
      <w:r>
        <w:rPr>
          <w:rFonts w:hint="eastAsia" w:ascii="宋体" w:hAnsi="Wingdings" w:cs="宋体"/>
          <w:b/>
          <w:color w:val="000000"/>
          <w:kern w:val="0"/>
        </w:rPr>
        <w:t>管控措施：若遇本理财产品不成立，管理人将于产品成立日当日通过管理人或销售机构网站及时公告相关信息，敬请投资者予以关注。</w:t>
      </w:r>
    </w:p>
    <w:p>
      <w:pPr>
        <w:spacing w:line="520" w:lineRule="exact"/>
        <w:ind w:firstLine="426" w:firstLineChars="202"/>
        <w:rPr>
          <w:rFonts w:hint="eastAsia" w:ascii="宋体" w:hAnsi="Wingdings" w:cs="Times New Roman"/>
          <w:b/>
          <w:color w:val="000000"/>
          <w:kern w:val="0"/>
        </w:rPr>
      </w:pPr>
      <w:r>
        <w:rPr>
          <w:rFonts w:hint="eastAsia" w:ascii="宋体" w:hAnsi="Wingdings" w:cs="宋体"/>
          <w:b/>
          <w:color w:val="000000"/>
          <w:kern w:val="0"/>
        </w:rPr>
        <w:t>（七）信息传递风险：</w:t>
      </w:r>
      <w:r>
        <w:rPr>
          <w:rFonts w:hint="eastAsia" w:ascii="宋体" w:hAnsi="宋体" w:cs="宋体"/>
          <w:b/>
          <w:color w:val="000000"/>
          <w:kern w:val="0"/>
        </w:rPr>
        <w:t>管理人按照理财产品说明书有关条款的约定，发布理财产品的成立、运作、到期清算或提前终止等信息公告。投资者应根据约定及时登录管理人或销售机构网站查询。</w:t>
      </w:r>
      <w:r>
        <w:rPr>
          <w:rFonts w:hint="eastAsia" w:ascii="宋体" w:hAnsi="Wingdings" w:cs="宋体"/>
          <w:b/>
          <w:color w:val="000000"/>
          <w:kern w:val="0"/>
        </w:rPr>
        <w:t>若因投资者未及时通过前述方式查询相关信息，或由于通讯故障、系统故障以及其他不可抗力等因素的影响，使得投资者无法及时了解产品信息，不能及时了解理财产品的盈亏状况，并可能将丧失退出及再投资的机会，由此导致的风险和责任由投资者自行承担。投资者预留在销售机构的有效联系方式发生变更的，应及时通知销售机构。若投资者未及时将联系方式变更事宜告知销售机构，销售机构可能无法及时联系投资者、由此产生的投资风险和法律责任由投资者自行承担。</w:t>
      </w:r>
    </w:p>
    <w:p>
      <w:pPr>
        <w:spacing w:line="520" w:lineRule="exact"/>
        <w:ind w:firstLine="426" w:firstLineChars="202"/>
        <w:rPr>
          <w:rFonts w:hint="eastAsia" w:ascii="宋体" w:hAnsi="Wingdings" w:cs="Times New Roman"/>
          <w:b/>
          <w:color w:val="000000"/>
          <w:kern w:val="0"/>
        </w:rPr>
      </w:pPr>
      <w:r>
        <w:rPr>
          <w:rFonts w:hint="eastAsia" w:ascii="宋体" w:hAnsi="Wingdings" w:cs="宋体"/>
          <w:b/>
          <w:color w:val="000000"/>
          <w:kern w:val="0"/>
        </w:rPr>
        <w:t>管控措施：敬请投资者按照本说明书有关约定，及时获取本理财产品信息披露。</w:t>
      </w:r>
    </w:p>
    <w:p>
      <w:pPr>
        <w:spacing w:line="520" w:lineRule="exact"/>
        <w:ind w:firstLine="426" w:firstLineChars="202"/>
        <w:rPr>
          <w:rFonts w:hint="eastAsia" w:ascii="宋体" w:hAnsi="Wingdings" w:cs="Times New Roman"/>
          <w:b/>
          <w:color w:val="000000"/>
          <w:kern w:val="0"/>
        </w:rPr>
      </w:pPr>
      <w:r>
        <w:rPr>
          <w:rFonts w:hint="eastAsia" w:ascii="宋体" w:hAnsi="Wingdings" w:cs="宋体"/>
          <w:b/>
          <w:color w:val="000000"/>
          <w:kern w:val="0"/>
        </w:rPr>
        <w:t>（八）政策风险：本理财产品是针对当前的相关法规和政策设计的，如国家宏观政策以及市场相关法规政策等发生变化，可能影响本理财产品的受理、投资、偿还等的正常进行，导致本理财产品收益降低甚至本金损失。</w:t>
      </w:r>
    </w:p>
    <w:p>
      <w:pPr>
        <w:spacing w:line="520" w:lineRule="exact"/>
        <w:ind w:firstLine="426" w:firstLineChars="202"/>
        <w:rPr>
          <w:rFonts w:hint="eastAsia" w:ascii="宋体" w:hAnsi="Wingdings" w:cs="宋体"/>
          <w:b/>
          <w:color w:val="000000"/>
          <w:kern w:val="0"/>
        </w:rPr>
      </w:pPr>
      <w:r>
        <w:rPr>
          <w:rFonts w:hint="eastAsia" w:ascii="宋体" w:hAnsi="Wingdings" w:cs="宋体"/>
          <w:b/>
          <w:color w:val="000000"/>
          <w:kern w:val="0"/>
        </w:rPr>
        <w:t>管控措施：此风险为本产品的固有风险，敬请投资者做好相应准备。</w:t>
      </w:r>
    </w:p>
    <w:p>
      <w:pPr>
        <w:spacing w:line="520" w:lineRule="exact"/>
        <w:ind w:firstLine="426" w:firstLineChars="202"/>
        <w:rPr>
          <w:rFonts w:hint="eastAsia" w:ascii="宋体" w:hAnsi="Wingdings" w:cs="宋体"/>
          <w:b/>
          <w:color w:val="000000"/>
          <w:kern w:val="0"/>
        </w:rPr>
      </w:pPr>
      <w:r>
        <w:rPr>
          <w:rFonts w:hint="eastAsia" w:ascii="宋体" w:hAnsi="Wingdings" w:cs="宋体"/>
          <w:b/>
          <w:color w:val="000000"/>
          <w:kern w:val="0"/>
        </w:rPr>
        <w:t>（九）代销风险：本理财产品通过代销渠道销售，投资者认购理财产品的资金由代销机构从投资者资金账户扣收；份额赎回时，赎回资金按本理财产品合同约定划付至代销机构清算账户后，由代销机构向投资者划付投资者应得赎回资金。如因投资者清算账户余额不足，或代销机构未及时足额划付资金，或代销机构清算账户内资金被依法冻结或扣划，或代销机构清算账户处于被挂失、冻结、注销或其他非正常状态等原因而导致交易失败。</w:t>
      </w:r>
    </w:p>
    <w:p>
      <w:pPr>
        <w:spacing w:line="520" w:lineRule="exact"/>
        <w:ind w:firstLine="426" w:firstLineChars="202"/>
        <w:rPr>
          <w:rFonts w:hint="eastAsia" w:ascii="宋体" w:hAnsi="Wingdings" w:cs="宋体"/>
          <w:b/>
          <w:color w:val="000000"/>
          <w:kern w:val="0"/>
        </w:rPr>
      </w:pPr>
      <w:r>
        <w:rPr>
          <w:rFonts w:hint="eastAsia" w:ascii="宋体" w:hAnsi="Wingdings" w:cs="宋体"/>
          <w:b/>
          <w:color w:val="000000"/>
          <w:kern w:val="0"/>
        </w:rPr>
        <w:t>管控措施：对于因上述原因导致的交易失败可能带来的任何损失及预期损失，投资者须自行承担或向代销机构依法主张。</w:t>
      </w:r>
    </w:p>
    <w:p>
      <w:pPr>
        <w:spacing w:line="520" w:lineRule="exact"/>
        <w:ind w:firstLine="426" w:firstLineChars="202"/>
        <w:rPr>
          <w:rFonts w:hint="eastAsia" w:ascii="宋体" w:hAnsi="Wingdings" w:cs="Times New Roman"/>
          <w:b/>
          <w:color w:val="000000"/>
          <w:kern w:val="0"/>
        </w:rPr>
      </w:pPr>
      <w:r>
        <w:rPr>
          <w:rFonts w:hint="eastAsia" w:ascii="宋体" w:hAnsi="Wingdings" w:cs="宋体"/>
          <w:b/>
          <w:color w:val="000000"/>
          <w:kern w:val="0"/>
        </w:rPr>
        <w:t>（十）不可抗力风险：指由于自然灾害、战争等不可抗力因素的出现，将严重影响金融市场的正常运行，从而导致理财资产收益降低或损失，甚至影响本理财产品的受理、投资、偿还等的正常进行，进而影响本理财产品的资金收益安全。</w:t>
      </w:r>
    </w:p>
    <w:p>
      <w:pPr>
        <w:spacing w:line="520" w:lineRule="exact"/>
        <w:ind w:firstLine="426" w:firstLineChars="202"/>
        <w:rPr>
          <w:rFonts w:hint="eastAsia" w:ascii="宋体" w:hAnsi="Wingdings" w:cs="Times New Roman"/>
          <w:b/>
          <w:color w:val="000000"/>
          <w:kern w:val="0"/>
        </w:rPr>
      </w:pPr>
      <w:r>
        <w:rPr>
          <w:rFonts w:hint="eastAsia" w:ascii="宋体" w:hAnsi="Wingdings" w:cs="宋体"/>
          <w:b/>
          <w:color w:val="000000"/>
          <w:kern w:val="0"/>
        </w:rPr>
        <w:t>管控措施：此风险为本产品的固有风险，敬请投资者做好相应准备。</w:t>
      </w:r>
    </w:p>
    <w:p>
      <w:pPr>
        <w:spacing w:line="520" w:lineRule="exact"/>
        <w:ind w:firstLine="426" w:firstLineChars="202"/>
        <w:rPr>
          <w:rFonts w:hint="eastAsia" w:ascii="宋体" w:hAnsi="Wingdings" w:cs="Times New Roman"/>
          <w:b/>
          <w:color w:val="000000"/>
          <w:kern w:val="0"/>
        </w:rPr>
      </w:pPr>
      <w:r>
        <w:rPr>
          <w:rFonts w:hint="eastAsia" w:ascii="宋体" w:hAnsi="Wingdings" w:cs="宋体"/>
          <w:b/>
          <w:color w:val="000000"/>
          <w:kern w:val="0"/>
        </w:rPr>
        <w:t>（十一）特别提示：本理财产品是非保本净值型理财产品，不保证本金和收益，业绩比较基准不代表本计划单位份额收益必定达到该标准，管理人不对本理财计划承诺保本或保证收益。您的本金可能会因市场变动及上述风险因素而蒙受损失。您应充分认识投资风险，谨慎投资。</w:t>
      </w:r>
    </w:p>
    <w:p>
      <w:pPr>
        <w:spacing w:line="520" w:lineRule="exact"/>
        <w:ind w:firstLine="424" w:firstLineChars="202"/>
        <w:rPr>
          <w:rFonts w:hint="eastAsia" w:ascii="宋体" w:hAnsi="Wingdings" w:cs="Times New Roman"/>
          <w:color w:val="000000"/>
          <w:kern w:val="0"/>
        </w:rPr>
      </w:pPr>
      <w:r>
        <w:rPr>
          <w:rFonts w:hint="eastAsia" w:ascii="宋体" w:hAnsi="Wingdings" w:cs="宋体"/>
          <w:color w:val="000000"/>
          <w:kern w:val="0"/>
        </w:rPr>
        <w:t>管理人将恪守勤勉尽责的原则，合理配置财产组合，为投资者提供专业化的理财服务。投资者应密切关注管理人与本理财计划有关的信息披露，以免造成不必要的损失。投资者因自身原因或不可抗力导致未及时获知本理财产品的运作或收益分配情况，管理人不承担任何责任。若投资者对本理财说明书的内容有任何疑问或异议，</w:t>
      </w:r>
      <w:r>
        <w:rPr>
          <w:rFonts w:hint="eastAsia" w:ascii="宋体" w:hAnsi="Wingdings" w:cs="宋体"/>
          <w:b/>
          <w:color w:val="000000"/>
          <w:kern w:val="0"/>
        </w:rPr>
        <w:t>请致电投资者服务热线咨询、投诉。</w:t>
      </w:r>
    </w:p>
    <w:p>
      <w:pPr>
        <w:numPr>
          <w:ilvl w:val="0"/>
          <w:numId w:val="16"/>
        </w:numPr>
        <w:spacing w:line="520" w:lineRule="exact"/>
        <w:ind w:hanging="142"/>
        <w:rPr>
          <w:rFonts w:ascii="Cambria" w:hAnsi="Cambria" w:cs="宋体"/>
          <w:b/>
          <w:bCs/>
          <w:kern w:val="28"/>
          <w:sz w:val="28"/>
          <w:szCs w:val="28"/>
        </w:rPr>
      </w:pPr>
      <w:r>
        <w:rPr>
          <w:rFonts w:hint="eastAsia" w:ascii="Cambria" w:hAnsi="Cambria" w:cs="宋体"/>
          <w:b/>
          <w:bCs/>
          <w:kern w:val="28"/>
          <w:sz w:val="28"/>
          <w:szCs w:val="28"/>
        </w:rPr>
        <w:t>其他</w:t>
      </w:r>
    </w:p>
    <w:p>
      <w:pPr>
        <w:spacing w:line="520" w:lineRule="exact"/>
        <w:rPr>
          <w:rFonts w:hint="eastAsia" w:ascii="宋体" w:hAnsi="Wingdings" w:cs="宋体"/>
          <w:color w:val="000000"/>
          <w:kern w:val="0"/>
        </w:rPr>
      </w:pPr>
      <w:r>
        <w:rPr>
          <w:rFonts w:hint="eastAsia" w:ascii="宋体" w:hAnsi="Wingdings" w:cs="宋体"/>
          <w:color w:val="000000"/>
          <w:kern w:val="0"/>
        </w:rPr>
        <w:t xml:space="preserve">    法律适用和争议解决</w:t>
      </w:r>
    </w:p>
    <w:p>
      <w:pPr>
        <w:spacing w:line="520" w:lineRule="exact"/>
        <w:ind w:firstLine="424" w:firstLineChars="202"/>
        <w:rPr>
          <w:rFonts w:hint="eastAsia" w:ascii="宋体" w:hAnsi="Wingdings" w:cs="宋体"/>
          <w:color w:val="000000"/>
          <w:kern w:val="0"/>
        </w:rPr>
      </w:pPr>
      <w:r>
        <w:rPr>
          <w:rFonts w:hint="eastAsia" w:ascii="宋体" w:hAnsi="Wingdings" w:cs="宋体"/>
          <w:color w:val="000000"/>
          <w:kern w:val="0"/>
        </w:rPr>
        <w:t>理财计划合同的订立、生效、履行、解释、修改和终止等事项的适用法律和争议解决方式按照《</w:t>
      </w:r>
      <w:r>
        <w:rPr>
          <w:rFonts w:hint="eastAsia" w:ascii="宋体" w:hAnsi="Wingdings" w:cs="宋体"/>
          <w:color w:val="000000"/>
          <w:kern w:val="0"/>
          <w:lang w:val="en-US" w:eastAsia="zh-CN"/>
        </w:rPr>
        <w:t>杭银理财</w:t>
      </w:r>
      <w:r>
        <w:rPr>
          <w:rFonts w:hint="eastAsia" w:ascii="宋体" w:hAnsi="Wingdings" w:cs="宋体"/>
          <w:color w:val="000000"/>
          <w:kern w:val="0"/>
        </w:rPr>
        <w:t>理财</w:t>
      </w:r>
      <w:r>
        <w:rPr>
          <w:rFonts w:hint="eastAsia" w:ascii="宋体" w:hAnsi="Wingdings" w:cs="宋体"/>
          <w:color w:val="000000"/>
          <w:kern w:val="0"/>
          <w:lang w:val="en-US" w:eastAsia="zh-CN"/>
        </w:rPr>
        <w:t>计划投资</w:t>
      </w:r>
      <w:r>
        <w:rPr>
          <w:rFonts w:hint="eastAsia" w:ascii="宋体" w:hAnsi="Wingdings" w:cs="宋体"/>
          <w:color w:val="000000"/>
          <w:kern w:val="0"/>
        </w:rPr>
        <w:t>协议书》</w:t>
      </w:r>
      <w:r>
        <w:rPr>
          <w:rFonts w:hint="eastAsia" w:ascii="宋体" w:hAnsi="Wingdings" w:cs="宋体"/>
          <w:color w:val="000000"/>
          <w:kern w:val="0"/>
          <w:lang w:eastAsia="zh-CN"/>
        </w:rPr>
        <w:t>、</w:t>
      </w:r>
      <w:r>
        <w:rPr>
          <w:rFonts w:hint="eastAsia" w:ascii="宋体" w:hAnsi="Wingdings" w:cs="宋体"/>
          <w:color w:val="000000"/>
          <w:kern w:val="0"/>
          <w:lang w:val="en-US" w:eastAsia="zh-CN"/>
        </w:rPr>
        <w:t>《杭银理财理财计划销售协议书》</w:t>
      </w:r>
      <w:r>
        <w:rPr>
          <w:rFonts w:hint="eastAsia" w:ascii="宋体" w:hAnsi="Wingdings" w:cs="宋体"/>
          <w:color w:val="000000"/>
          <w:kern w:val="0"/>
        </w:rPr>
        <w:t>的相关约定执行。</w:t>
      </w:r>
    </w:p>
    <w:p>
      <w:pPr>
        <w:spacing w:line="520" w:lineRule="exact"/>
        <w:ind w:firstLine="424" w:firstLineChars="202"/>
        <w:rPr>
          <w:rFonts w:hint="eastAsia" w:ascii="宋体" w:hAnsi="Wingdings" w:cs="宋体"/>
          <w:color w:val="000000"/>
          <w:kern w:val="0"/>
        </w:rPr>
      </w:pPr>
    </w:p>
    <w:p>
      <w:pPr>
        <w:spacing w:line="520" w:lineRule="exact"/>
        <w:ind w:firstLine="424" w:firstLineChars="202"/>
        <w:rPr>
          <w:rFonts w:hint="eastAsia" w:ascii="宋体" w:hAnsi="Wingdings" w:cs="宋体"/>
          <w:color w:val="000000"/>
          <w:kern w:val="0"/>
        </w:rPr>
      </w:pPr>
    </w:p>
    <w:p>
      <w:pPr>
        <w:spacing w:line="520" w:lineRule="exact"/>
        <w:ind w:firstLine="424" w:firstLineChars="202"/>
        <w:rPr>
          <w:rFonts w:hint="eastAsia" w:ascii="宋体" w:hAnsi="Wingdings" w:cs="宋体"/>
          <w:color w:val="000000"/>
          <w:kern w:val="0"/>
        </w:rPr>
      </w:pPr>
    </w:p>
    <w:p>
      <w:pPr>
        <w:spacing w:line="520" w:lineRule="exact"/>
        <w:ind w:firstLine="424" w:firstLineChars="202"/>
        <w:rPr>
          <w:rFonts w:hint="eastAsia" w:ascii="宋体" w:hAnsi="Wingdings" w:cs="宋体"/>
          <w:color w:val="000000"/>
          <w:kern w:val="0"/>
        </w:rPr>
      </w:pPr>
    </w:p>
    <w:p>
      <w:pPr>
        <w:spacing w:line="520" w:lineRule="exact"/>
        <w:ind w:firstLine="424" w:firstLineChars="202"/>
        <w:rPr>
          <w:rFonts w:hint="eastAsia" w:ascii="宋体" w:hAnsi="Wingdings" w:cs="宋体"/>
          <w:color w:val="000000"/>
          <w:kern w:val="0"/>
        </w:rPr>
      </w:pPr>
    </w:p>
    <w:p>
      <w:pPr>
        <w:spacing w:line="520" w:lineRule="exact"/>
        <w:ind w:firstLine="424" w:firstLineChars="202"/>
        <w:rPr>
          <w:rFonts w:hint="eastAsia" w:ascii="宋体" w:hAnsi="Wingdings" w:cs="宋体"/>
          <w:color w:val="000000"/>
          <w:kern w:val="0"/>
        </w:rPr>
      </w:pPr>
    </w:p>
    <w:p>
      <w:pPr>
        <w:spacing w:line="520" w:lineRule="exact"/>
        <w:ind w:firstLine="424" w:firstLineChars="202"/>
        <w:rPr>
          <w:rFonts w:hint="eastAsia" w:ascii="宋体" w:hAnsi="Wingdings" w:cs="宋体"/>
          <w:color w:val="000000"/>
          <w:kern w:val="0"/>
        </w:rPr>
      </w:pPr>
    </w:p>
    <w:p>
      <w:pPr>
        <w:spacing w:line="520" w:lineRule="exact"/>
        <w:ind w:firstLine="424" w:firstLineChars="202"/>
        <w:rPr>
          <w:rFonts w:hint="eastAsia" w:ascii="宋体" w:hAnsi="Wingdings" w:cs="宋体"/>
          <w:color w:val="000000"/>
          <w:kern w:val="0"/>
        </w:rPr>
      </w:pPr>
    </w:p>
    <w:p>
      <w:pPr>
        <w:spacing w:line="520" w:lineRule="exact"/>
        <w:ind w:firstLine="424" w:firstLineChars="202"/>
        <w:rPr>
          <w:rFonts w:hint="eastAsia" w:ascii="宋体" w:hAnsi="Wingdings" w:cs="宋体"/>
          <w:color w:val="000000"/>
          <w:kern w:val="0"/>
        </w:rPr>
      </w:pPr>
    </w:p>
    <w:p>
      <w:pPr>
        <w:spacing w:line="520" w:lineRule="exact"/>
        <w:ind w:firstLine="424" w:firstLineChars="202"/>
        <w:rPr>
          <w:rFonts w:hint="eastAsia" w:ascii="宋体" w:hAnsi="Wingdings" w:cs="宋体"/>
          <w:color w:val="000000"/>
          <w:kern w:val="0"/>
        </w:rPr>
      </w:pPr>
    </w:p>
    <w:p>
      <w:pPr>
        <w:spacing w:line="520" w:lineRule="exact"/>
        <w:ind w:firstLine="424" w:firstLineChars="202"/>
        <w:rPr>
          <w:rFonts w:hint="eastAsia" w:ascii="宋体" w:hAnsi="Wingdings" w:cs="宋体"/>
          <w:color w:val="000000"/>
          <w:kern w:val="0"/>
        </w:rPr>
      </w:pPr>
    </w:p>
    <w:p>
      <w:pPr>
        <w:spacing w:line="520" w:lineRule="exact"/>
        <w:ind w:firstLine="424" w:firstLineChars="202"/>
        <w:rPr>
          <w:rFonts w:hint="eastAsia" w:ascii="宋体" w:hAnsi="Wingdings" w:cs="宋体"/>
          <w:color w:val="000000"/>
          <w:kern w:val="0"/>
        </w:rPr>
      </w:pPr>
    </w:p>
    <w:p>
      <w:pPr>
        <w:spacing w:line="520" w:lineRule="exact"/>
        <w:ind w:firstLine="424" w:firstLineChars="202"/>
        <w:rPr>
          <w:rFonts w:hint="eastAsia" w:ascii="宋体" w:hAnsi="Wingdings" w:cs="宋体"/>
          <w:color w:val="000000"/>
          <w:kern w:val="0"/>
        </w:rPr>
      </w:pPr>
    </w:p>
    <w:p>
      <w:pPr>
        <w:spacing w:line="520" w:lineRule="exact"/>
        <w:ind w:firstLine="424" w:firstLineChars="202"/>
        <w:rPr>
          <w:rFonts w:hint="eastAsia" w:ascii="宋体" w:hAnsi="Wingdings" w:cs="宋体"/>
          <w:color w:val="000000"/>
          <w:kern w:val="0"/>
        </w:rPr>
      </w:pPr>
    </w:p>
    <w:p>
      <w:pPr>
        <w:spacing w:line="520" w:lineRule="exact"/>
        <w:ind w:firstLine="424" w:firstLineChars="202"/>
        <w:rPr>
          <w:rFonts w:hint="eastAsia" w:ascii="宋体" w:hAnsi="Wingdings" w:cs="宋体"/>
          <w:color w:val="000000"/>
          <w:kern w:val="0"/>
        </w:rPr>
      </w:pPr>
    </w:p>
    <w:p>
      <w:pPr>
        <w:spacing w:line="360" w:lineRule="auto"/>
        <w:jc w:val="center"/>
        <w:rPr>
          <w:rFonts w:ascii="宋体" w:hAnsi="宋体"/>
          <w:b/>
          <w:bCs/>
          <w:color w:val="000000"/>
          <w:sz w:val="32"/>
          <w:szCs w:val="32"/>
        </w:rPr>
      </w:pPr>
      <w:r>
        <w:rPr>
          <w:rFonts w:hint="eastAsia" w:ascii="宋体" w:hAnsi="宋体"/>
          <w:b/>
          <w:bCs/>
          <w:color w:val="000000"/>
          <w:sz w:val="32"/>
          <w:szCs w:val="32"/>
        </w:rPr>
        <w:t>杭银理财投资者权益须知</w:t>
      </w:r>
    </w:p>
    <w:p>
      <w:pPr>
        <w:jc w:val="center"/>
        <w:rPr>
          <w:rFonts w:ascii="宋体" w:hAnsi="宋体"/>
          <w:b/>
          <w:bCs/>
          <w:color w:val="000000"/>
        </w:rPr>
      </w:pPr>
      <w:r>
        <w:rPr>
          <w:rFonts w:hint="eastAsia" w:ascii="宋体" w:hAnsi="宋体"/>
        </w:rPr>
        <w:t>（202101版）</w:t>
      </w:r>
    </w:p>
    <w:p>
      <w:pPr>
        <w:spacing w:line="360" w:lineRule="auto"/>
        <w:jc w:val="center"/>
        <w:rPr>
          <w:rFonts w:ascii="宋体" w:hAnsi="宋体"/>
          <w:b/>
          <w:bCs/>
          <w:u w:val="single"/>
        </w:rPr>
      </w:pPr>
      <w:r>
        <w:rPr>
          <w:rFonts w:hint="eastAsia" w:ascii="宋体" w:hAnsi="宋体"/>
          <w:b/>
          <w:bCs/>
          <w:u w:val="single"/>
        </w:rPr>
        <w:t>理财非存款、产品有风险、投资须谨慎</w:t>
      </w:r>
    </w:p>
    <w:p>
      <w:pPr>
        <w:spacing w:line="360" w:lineRule="auto"/>
        <w:rPr>
          <w:rFonts w:ascii="宋体" w:hAnsi="宋体"/>
          <w:kern w:val="0"/>
        </w:rPr>
      </w:pPr>
      <w:r>
        <w:rPr>
          <w:rFonts w:hint="eastAsia" w:ascii="宋体" w:hAnsi="宋体"/>
          <w:kern w:val="0"/>
        </w:rPr>
        <w:t>尊敬的投资者：</w:t>
      </w:r>
    </w:p>
    <w:p>
      <w:pPr>
        <w:spacing w:line="360" w:lineRule="auto"/>
        <w:ind w:firstLine="420" w:firstLineChars="200"/>
        <w:rPr>
          <w:rFonts w:ascii="宋体" w:hAnsi="宋体"/>
          <w:kern w:val="0"/>
        </w:rPr>
      </w:pPr>
      <w:r>
        <w:rPr>
          <w:rFonts w:hint="eastAsia" w:ascii="宋体" w:hAnsi="宋体"/>
          <w:kern w:val="0"/>
        </w:rPr>
        <w:t>感谢您对杭银理财有限责任公司(以下简称“杭银理财”)作为管理人发行的理财计划的支持与信任。为了保护您的合法权益，请在投资理财计划前仔细阅读以下内容。如对理财计划合同或购买流程等有不明之处，请及时向销售机构相关人员进行咨询；在购买理财计划后，请关注理财计划的信息披露情况，及时获取相关信息；如对理财计划有任何意见或建议，请关注理财计划管理人相关联络方式并予以反馈，或通过销售机构转达。</w:t>
      </w:r>
    </w:p>
    <w:p>
      <w:pPr>
        <w:numPr>
          <w:ilvl w:val="0"/>
          <w:numId w:val="17"/>
        </w:numPr>
        <w:spacing w:line="360" w:lineRule="auto"/>
        <w:rPr>
          <w:rFonts w:ascii="宋体" w:hAnsi="宋体"/>
          <w:b/>
          <w:bCs/>
          <w:kern w:val="0"/>
        </w:rPr>
      </w:pPr>
      <w:r>
        <w:rPr>
          <w:rFonts w:hint="eastAsia" w:ascii="宋体" w:hAnsi="宋体"/>
          <w:b/>
          <w:bCs/>
          <w:kern w:val="0"/>
        </w:rPr>
        <w:t>理财计划办理流程</w:t>
      </w:r>
    </w:p>
    <w:p>
      <w:pPr>
        <w:numPr>
          <w:ilvl w:val="0"/>
          <w:numId w:val="18"/>
        </w:numPr>
        <w:spacing w:line="360" w:lineRule="auto"/>
        <w:rPr>
          <w:rFonts w:ascii="宋体" w:hAnsi="宋体"/>
          <w:kern w:val="0"/>
        </w:rPr>
      </w:pPr>
      <w:r>
        <w:rPr>
          <w:rFonts w:hint="eastAsia" w:ascii="宋体" w:hAnsi="宋体"/>
          <w:kern w:val="0"/>
        </w:rPr>
        <w:t>首次在销售机构购买理财的投资者须开立或持有销售机构账户，提供真实身份信息并确认正确的联系方式；该账户用于本理财计划的资金划转及兑付，您应确保持有本理财计划期间指定账户不做销户。</w:t>
      </w:r>
    </w:p>
    <w:p>
      <w:pPr>
        <w:numPr>
          <w:ilvl w:val="0"/>
          <w:numId w:val="18"/>
        </w:numPr>
        <w:spacing w:line="360" w:lineRule="auto"/>
        <w:rPr>
          <w:rFonts w:ascii="宋体" w:hAnsi="宋体"/>
          <w:kern w:val="0"/>
        </w:rPr>
      </w:pPr>
      <w:r>
        <w:rPr>
          <w:rFonts w:hint="eastAsia" w:ascii="宋体" w:hAnsi="宋体"/>
          <w:kern w:val="0"/>
        </w:rPr>
        <w:t>首次在销售机构购买杭银理财理财计划的个人投资者须接受并完成销售机构对您的风险承受能力评估，并确认风险承受能力等级不低于本理财计划风险评级。</w:t>
      </w:r>
    </w:p>
    <w:p>
      <w:pPr>
        <w:numPr>
          <w:ilvl w:val="0"/>
          <w:numId w:val="18"/>
        </w:numPr>
        <w:spacing w:line="360" w:lineRule="auto"/>
        <w:rPr>
          <w:rFonts w:ascii="宋体" w:hAnsi="宋体"/>
          <w:kern w:val="0"/>
        </w:rPr>
      </w:pPr>
      <w:r>
        <w:rPr>
          <w:rFonts w:hint="eastAsia" w:ascii="宋体" w:hAnsi="宋体"/>
          <w:kern w:val="0"/>
        </w:rPr>
        <w:t>投资者应仔细阅读本理财计划完整合同（包括但不限于风险揭示书、理财计划产品说明书、投资者权益须知</w:t>
      </w:r>
      <w:r>
        <w:rPr>
          <w:rFonts w:hint="eastAsia" w:ascii="宋体" w:hAnsi="宋体"/>
          <w:kern w:val="0"/>
          <w:lang w:eastAsia="zh-CN"/>
        </w:rPr>
        <w:t>、</w:t>
      </w:r>
      <w:r>
        <w:rPr>
          <w:rFonts w:hint="eastAsia" w:ascii="宋体" w:hAnsi="宋体"/>
          <w:kern w:val="0"/>
        </w:rPr>
        <w:t>理财计划投资协议书</w:t>
      </w:r>
      <w:r>
        <w:rPr>
          <w:rFonts w:hint="eastAsia" w:ascii="宋体" w:hAnsi="宋体"/>
          <w:kern w:val="0"/>
          <w:lang w:val="en-US" w:eastAsia="zh-CN"/>
        </w:rPr>
        <w:t>和理财计划销售协议书</w:t>
      </w:r>
      <w:r>
        <w:rPr>
          <w:rFonts w:hint="eastAsia" w:ascii="宋体" w:hAnsi="宋体"/>
          <w:kern w:val="0"/>
        </w:rPr>
        <w:t>）等相关协议文件，确认对理财计划条款及风险理解并无疑问和异议后，自主作出认（申）购和赎回决定，独立抄录风险确认语句并签署相关销售文件，办理理财计划交易手续，自主承担投资风险。</w:t>
      </w:r>
    </w:p>
    <w:p>
      <w:pPr>
        <w:numPr>
          <w:ilvl w:val="0"/>
          <w:numId w:val="18"/>
        </w:numPr>
        <w:spacing w:line="360" w:lineRule="auto"/>
        <w:rPr>
          <w:rFonts w:ascii="宋体" w:hAnsi="宋体"/>
          <w:kern w:val="0"/>
        </w:rPr>
      </w:pPr>
      <w:r>
        <w:rPr>
          <w:rFonts w:hint="eastAsia" w:ascii="宋体" w:hAnsi="宋体"/>
          <w:kern w:val="0"/>
        </w:rPr>
        <w:t>如在银行营业场所购买杭银理财理财计划，销售机构需对每笔理财计划销售过程同步录音录像。</w:t>
      </w:r>
    </w:p>
    <w:p>
      <w:pPr>
        <w:numPr>
          <w:ilvl w:val="0"/>
          <w:numId w:val="18"/>
        </w:numPr>
        <w:spacing w:line="360" w:lineRule="auto"/>
        <w:rPr>
          <w:rFonts w:ascii="宋体" w:hAnsi="宋体"/>
          <w:kern w:val="0"/>
        </w:rPr>
      </w:pPr>
      <w:r>
        <w:rPr>
          <w:rFonts w:hint="eastAsia" w:ascii="宋体" w:hAnsi="宋体"/>
          <w:kern w:val="0"/>
        </w:rPr>
        <w:t>投资者确定交易金额，完成交易申请，并在确认份额后进行查询。</w:t>
      </w:r>
    </w:p>
    <w:p>
      <w:pPr>
        <w:numPr>
          <w:ilvl w:val="0"/>
          <w:numId w:val="19"/>
        </w:numPr>
        <w:spacing w:line="360" w:lineRule="auto"/>
        <w:rPr>
          <w:rFonts w:ascii="宋体" w:hAnsi="宋体"/>
          <w:b/>
          <w:bCs/>
          <w:kern w:val="0"/>
        </w:rPr>
      </w:pPr>
      <w:r>
        <w:rPr>
          <w:rFonts w:hint="eastAsia" w:ascii="宋体" w:hAnsi="宋体"/>
          <w:b/>
          <w:bCs/>
          <w:kern w:val="0"/>
        </w:rPr>
        <w:t>杭银理财产品风险评级</w:t>
      </w:r>
    </w:p>
    <w:p>
      <w:pPr>
        <w:spacing w:line="360" w:lineRule="auto"/>
        <w:ind w:firstLine="420" w:firstLineChars="200"/>
        <w:rPr>
          <w:rFonts w:ascii="宋体" w:hAnsi="宋体"/>
          <w:kern w:val="0"/>
        </w:rPr>
      </w:pPr>
      <w:r>
        <w:rPr>
          <w:rFonts w:hint="eastAsia" w:ascii="宋体" w:hAnsi="宋体"/>
          <w:kern w:val="0"/>
        </w:rPr>
        <w:t>产品类型按照风险由低到高依次划分为低风险（R1）、中低风险（R2）、中等风险（R3）、中高风险（R4）和高风险（R5）五个级别，杭银理财根据产品投资组合、实际的风险控制情况、投资运作情况等确定产品归属的风险等级，并在产品说明书中对产品风险等级及其适合销售的投资者范围进行披露，属于杭银理财内部评级，仅供投资者参考，不具有任何法律约束力。各级产品的风险特性如下：</w:t>
      </w:r>
    </w:p>
    <w:p>
      <w:pPr>
        <w:spacing w:line="360" w:lineRule="auto"/>
        <w:ind w:firstLine="420" w:firstLineChars="200"/>
        <w:rPr>
          <w:rFonts w:ascii="宋体" w:hAnsi="宋体"/>
          <w:kern w:val="0"/>
        </w:rPr>
      </w:pPr>
    </w:p>
    <w:tbl>
      <w:tblPr>
        <w:tblStyle w:val="13"/>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45"/>
        <w:gridCol w:w="4287"/>
        <w:gridCol w:w="24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b/>
                <w:bCs/>
                <w:kern w:val="0"/>
              </w:rPr>
            </w:pPr>
            <w:r>
              <w:rPr>
                <w:rFonts w:hint="eastAsia" w:ascii="宋体" w:hAnsi="宋体"/>
                <w:b/>
                <w:bCs/>
                <w:kern w:val="0"/>
              </w:rPr>
              <w:t>产品风险等级</w:t>
            </w:r>
          </w:p>
        </w:tc>
        <w:tc>
          <w:tcPr>
            <w:tcW w:w="4287" w:type="dxa"/>
            <w:tcBorders>
              <w:top w:val="single" w:color="auto" w:sz="4" w:space="0"/>
              <w:left w:val="nil"/>
              <w:bottom w:val="single" w:color="auto" w:sz="4" w:space="0"/>
              <w:right w:val="single" w:color="auto" w:sz="4" w:space="0"/>
            </w:tcBorders>
            <w:vAlign w:val="center"/>
          </w:tcPr>
          <w:p>
            <w:pPr>
              <w:spacing w:line="360" w:lineRule="auto"/>
              <w:jc w:val="center"/>
              <w:rPr>
                <w:rFonts w:ascii="宋体" w:hAnsi="宋体"/>
                <w:b/>
                <w:bCs/>
                <w:kern w:val="0"/>
              </w:rPr>
            </w:pPr>
            <w:r>
              <w:rPr>
                <w:rFonts w:hint="eastAsia" w:ascii="宋体" w:hAnsi="宋体"/>
                <w:b/>
                <w:bCs/>
                <w:kern w:val="0"/>
              </w:rPr>
              <w:t>风险等级说明</w:t>
            </w:r>
          </w:p>
        </w:tc>
        <w:tc>
          <w:tcPr>
            <w:tcW w:w="2490" w:type="dxa"/>
            <w:tcBorders>
              <w:top w:val="single" w:color="auto" w:sz="4" w:space="0"/>
              <w:left w:val="nil"/>
              <w:bottom w:val="single" w:color="auto" w:sz="4" w:space="0"/>
              <w:right w:val="single" w:color="auto" w:sz="4" w:space="0"/>
            </w:tcBorders>
            <w:vAlign w:val="center"/>
          </w:tcPr>
          <w:p>
            <w:pPr>
              <w:spacing w:line="360" w:lineRule="auto"/>
              <w:jc w:val="center"/>
              <w:rPr>
                <w:rFonts w:ascii="宋体" w:hAnsi="宋体"/>
                <w:b/>
                <w:bCs/>
                <w:kern w:val="0"/>
              </w:rPr>
            </w:pPr>
            <w:r>
              <w:rPr>
                <w:rFonts w:hint="eastAsia" w:ascii="宋体" w:hAnsi="宋体"/>
                <w:b/>
                <w:bCs/>
                <w:kern w:val="0"/>
              </w:rPr>
              <w:t>适合销售的投资者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kern w:val="0"/>
              </w:rPr>
            </w:pPr>
            <w:r>
              <w:rPr>
                <w:rFonts w:hint="eastAsia" w:ascii="宋体" w:hAnsi="宋体"/>
                <w:kern w:val="0"/>
              </w:rPr>
              <w:t>R1</w:t>
            </w:r>
          </w:p>
        </w:tc>
        <w:tc>
          <w:tcPr>
            <w:tcW w:w="4287" w:type="dxa"/>
            <w:tcBorders>
              <w:top w:val="single" w:color="auto" w:sz="4" w:space="0"/>
              <w:left w:val="nil"/>
              <w:bottom w:val="single" w:color="auto" w:sz="4" w:space="0"/>
              <w:right w:val="single" w:color="auto" w:sz="4" w:space="0"/>
            </w:tcBorders>
            <w:vAlign w:val="center"/>
          </w:tcPr>
          <w:p>
            <w:pPr>
              <w:spacing w:line="360" w:lineRule="auto"/>
              <w:rPr>
                <w:rFonts w:ascii="宋体" w:hAnsi="宋体"/>
                <w:kern w:val="0"/>
              </w:rPr>
            </w:pPr>
            <w:r>
              <w:rPr>
                <w:rFonts w:hint="eastAsia" w:ascii="宋体" w:hAnsi="宋体"/>
                <w:kern w:val="0"/>
              </w:rPr>
              <w:t>产品总体风险程度低，收益波动小，产品本金安全性高，收益不能实现的可能性很小</w:t>
            </w:r>
          </w:p>
        </w:tc>
        <w:tc>
          <w:tcPr>
            <w:tcW w:w="2490" w:type="dxa"/>
            <w:tcBorders>
              <w:top w:val="single" w:color="auto" w:sz="4" w:space="0"/>
              <w:left w:val="nil"/>
              <w:bottom w:val="single" w:color="auto" w:sz="4" w:space="0"/>
              <w:right w:val="single" w:color="auto" w:sz="4" w:space="0"/>
            </w:tcBorders>
            <w:vAlign w:val="center"/>
          </w:tcPr>
          <w:p>
            <w:pPr>
              <w:spacing w:line="360" w:lineRule="auto"/>
              <w:rPr>
                <w:rFonts w:ascii="宋体" w:hAnsi="宋体"/>
                <w:kern w:val="0"/>
              </w:rPr>
            </w:pPr>
            <w:r>
              <w:rPr>
                <w:rFonts w:hint="eastAsia" w:ascii="宋体" w:hAnsi="宋体"/>
                <w:kern w:val="0"/>
              </w:rPr>
              <w:t>机构投资者及保守型、稳健型、平衡型、成长型、进取型的个人投资者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kern w:val="0"/>
              </w:rPr>
            </w:pPr>
            <w:r>
              <w:rPr>
                <w:rFonts w:hint="eastAsia" w:ascii="宋体" w:hAnsi="宋体"/>
                <w:kern w:val="0"/>
              </w:rPr>
              <w:t>R2</w:t>
            </w:r>
          </w:p>
        </w:tc>
        <w:tc>
          <w:tcPr>
            <w:tcW w:w="4287" w:type="dxa"/>
            <w:tcBorders>
              <w:top w:val="single" w:color="auto" w:sz="4" w:space="0"/>
              <w:left w:val="nil"/>
              <w:bottom w:val="single" w:color="auto" w:sz="4" w:space="0"/>
              <w:right w:val="single" w:color="auto" w:sz="4" w:space="0"/>
            </w:tcBorders>
            <w:vAlign w:val="center"/>
          </w:tcPr>
          <w:p>
            <w:pPr>
              <w:spacing w:line="360" w:lineRule="auto"/>
              <w:rPr>
                <w:rFonts w:ascii="宋体" w:hAnsi="宋体"/>
                <w:kern w:val="0"/>
              </w:rPr>
            </w:pPr>
            <w:r>
              <w:rPr>
                <w:rFonts w:hint="eastAsia" w:ascii="宋体" w:hAnsi="宋体"/>
                <w:kern w:val="0"/>
              </w:rPr>
              <w:t>产品总体风险程度较低，收益波动较小，虽然存在一些可能对产品本金和收益安全产生不利影响的因素，但产品本金出现损失的可能性较小</w:t>
            </w:r>
          </w:p>
        </w:tc>
        <w:tc>
          <w:tcPr>
            <w:tcW w:w="2490" w:type="dxa"/>
            <w:tcBorders>
              <w:top w:val="single" w:color="auto" w:sz="4" w:space="0"/>
              <w:left w:val="nil"/>
              <w:bottom w:val="single" w:color="auto" w:sz="4" w:space="0"/>
              <w:right w:val="single" w:color="auto" w:sz="4" w:space="0"/>
            </w:tcBorders>
            <w:vAlign w:val="center"/>
          </w:tcPr>
          <w:p>
            <w:pPr>
              <w:spacing w:line="360" w:lineRule="auto"/>
              <w:rPr>
                <w:rFonts w:ascii="宋体" w:hAnsi="宋体"/>
                <w:kern w:val="0"/>
              </w:rPr>
            </w:pPr>
            <w:r>
              <w:rPr>
                <w:rFonts w:hint="eastAsia" w:ascii="宋体" w:hAnsi="宋体"/>
                <w:kern w:val="0"/>
              </w:rPr>
              <w:t>机构投资者及稳健型、平衡型、成长型、进取型的个人投资者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kern w:val="0"/>
              </w:rPr>
            </w:pPr>
            <w:r>
              <w:rPr>
                <w:rFonts w:hint="eastAsia" w:ascii="宋体" w:hAnsi="宋体"/>
                <w:kern w:val="0"/>
              </w:rPr>
              <w:t>R3</w:t>
            </w:r>
          </w:p>
        </w:tc>
        <w:tc>
          <w:tcPr>
            <w:tcW w:w="4287" w:type="dxa"/>
            <w:tcBorders>
              <w:top w:val="single" w:color="auto" w:sz="4" w:space="0"/>
              <w:left w:val="nil"/>
              <w:bottom w:val="single" w:color="auto" w:sz="4" w:space="0"/>
              <w:right w:val="single" w:color="auto" w:sz="4" w:space="0"/>
            </w:tcBorders>
            <w:vAlign w:val="center"/>
          </w:tcPr>
          <w:p>
            <w:pPr>
              <w:spacing w:line="360" w:lineRule="auto"/>
              <w:rPr>
                <w:rFonts w:ascii="宋体" w:hAnsi="宋体"/>
                <w:kern w:val="0"/>
              </w:rPr>
            </w:pPr>
            <w:r>
              <w:rPr>
                <w:rFonts w:hint="eastAsia" w:ascii="宋体" w:hAnsi="宋体"/>
                <w:kern w:val="0"/>
              </w:rPr>
              <w:t>产品总体风险程度适中，收益存在一定的波动，产品本金出现损失的可能性不容忽视</w:t>
            </w:r>
          </w:p>
        </w:tc>
        <w:tc>
          <w:tcPr>
            <w:tcW w:w="2490" w:type="dxa"/>
            <w:tcBorders>
              <w:top w:val="single" w:color="auto" w:sz="4" w:space="0"/>
              <w:left w:val="nil"/>
              <w:bottom w:val="single" w:color="auto" w:sz="4" w:space="0"/>
              <w:right w:val="single" w:color="auto" w:sz="4" w:space="0"/>
            </w:tcBorders>
            <w:vAlign w:val="center"/>
          </w:tcPr>
          <w:p>
            <w:pPr>
              <w:spacing w:line="360" w:lineRule="auto"/>
              <w:rPr>
                <w:rFonts w:ascii="宋体" w:hAnsi="宋体"/>
                <w:kern w:val="0"/>
              </w:rPr>
            </w:pPr>
            <w:r>
              <w:rPr>
                <w:rFonts w:hint="eastAsia" w:ascii="宋体" w:hAnsi="宋体"/>
                <w:kern w:val="0"/>
              </w:rPr>
              <w:t>机构投资者及平衡型、成长型、进取型的个人投资者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kern w:val="0"/>
              </w:rPr>
            </w:pPr>
            <w:r>
              <w:rPr>
                <w:rFonts w:hint="eastAsia" w:ascii="宋体" w:hAnsi="宋体"/>
                <w:kern w:val="0"/>
              </w:rPr>
              <w:t>R4</w:t>
            </w:r>
          </w:p>
        </w:tc>
        <w:tc>
          <w:tcPr>
            <w:tcW w:w="4287" w:type="dxa"/>
            <w:tcBorders>
              <w:top w:val="single" w:color="auto" w:sz="4" w:space="0"/>
              <w:left w:val="nil"/>
              <w:bottom w:val="single" w:color="auto" w:sz="4" w:space="0"/>
              <w:right w:val="single" w:color="auto" w:sz="4" w:space="0"/>
            </w:tcBorders>
            <w:vAlign w:val="center"/>
          </w:tcPr>
          <w:p>
            <w:pPr>
              <w:spacing w:line="360" w:lineRule="auto"/>
              <w:rPr>
                <w:rFonts w:ascii="宋体" w:hAnsi="宋体"/>
                <w:kern w:val="0"/>
              </w:rPr>
            </w:pPr>
            <w:r>
              <w:rPr>
                <w:rFonts w:hint="eastAsia" w:ascii="宋体" w:hAnsi="宋体"/>
                <w:kern w:val="0"/>
              </w:rPr>
              <w:t>产品总体风险程度较高，收益波动较明显，产品本金出现损失的可能性高</w:t>
            </w:r>
          </w:p>
        </w:tc>
        <w:tc>
          <w:tcPr>
            <w:tcW w:w="2490" w:type="dxa"/>
            <w:tcBorders>
              <w:top w:val="single" w:color="auto" w:sz="4" w:space="0"/>
              <w:left w:val="nil"/>
              <w:bottom w:val="single" w:color="auto" w:sz="4" w:space="0"/>
              <w:right w:val="single" w:color="auto" w:sz="4" w:space="0"/>
            </w:tcBorders>
            <w:vAlign w:val="center"/>
          </w:tcPr>
          <w:p>
            <w:pPr>
              <w:spacing w:line="360" w:lineRule="auto"/>
              <w:rPr>
                <w:rFonts w:ascii="宋体" w:hAnsi="宋体"/>
                <w:kern w:val="0"/>
              </w:rPr>
            </w:pPr>
            <w:r>
              <w:rPr>
                <w:rFonts w:hint="eastAsia" w:ascii="宋体" w:hAnsi="宋体"/>
                <w:kern w:val="0"/>
              </w:rPr>
              <w:t>机构投资者及成长型、进取型的个人投资者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kern w:val="0"/>
              </w:rPr>
            </w:pPr>
            <w:r>
              <w:rPr>
                <w:rFonts w:hint="eastAsia" w:ascii="宋体" w:hAnsi="宋体"/>
                <w:kern w:val="0"/>
              </w:rPr>
              <w:t>R5</w:t>
            </w:r>
          </w:p>
        </w:tc>
        <w:tc>
          <w:tcPr>
            <w:tcW w:w="4287" w:type="dxa"/>
            <w:tcBorders>
              <w:top w:val="single" w:color="auto" w:sz="4" w:space="0"/>
              <w:left w:val="nil"/>
              <w:bottom w:val="single" w:color="auto" w:sz="4" w:space="0"/>
              <w:right w:val="single" w:color="auto" w:sz="4" w:space="0"/>
            </w:tcBorders>
            <w:vAlign w:val="center"/>
          </w:tcPr>
          <w:p>
            <w:pPr>
              <w:spacing w:line="360" w:lineRule="auto"/>
              <w:rPr>
                <w:rFonts w:ascii="宋体" w:hAnsi="宋体"/>
                <w:kern w:val="0"/>
              </w:rPr>
            </w:pPr>
            <w:r>
              <w:rPr>
                <w:rFonts w:hint="eastAsia" w:ascii="宋体" w:hAnsi="宋体"/>
                <w:kern w:val="0"/>
              </w:rPr>
              <w:t>产品总体风险程度高，收益波动明显，产品本金出现损失的可能性很高，产品本金出现全部损失的可能性不容忽视</w:t>
            </w:r>
          </w:p>
        </w:tc>
        <w:tc>
          <w:tcPr>
            <w:tcW w:w="2490" w:type="dxa"/>
            <w:tcBorders>
              <w:top w:val="single" w:color="auto" w:sz="4" w:space="0"/>
              <w:left w:val="nil"/>
              <w:bottom w:val="single" w:color="auto" w:sz="4" w:space="0"/>
              <w:right w:val="single" w:color="auto" w:sz="4" w:space="0"/>
            </w:tcBorders>
            <w:vAlign w:val="center"/>
          </w:tcPr>
          <w:p>
            <w:pPr>
              <w:spacing w:line="360" w:lineRule="auto"/>
              <w:rPr>
                <w:rFonts w:ascii="宋体" w:hAnsi="宋体"/>
                <w:kern w:val="0"/>
              </w:rPr>
            </w:pPr>
            <w:r>
              <w:rPr>
                <w:rFonts w:hint="eastAsia" w:ascii="宋体" w:hAnsi="宋体"/>
                <w:kern w:val="0"/>
              </w:rPr>
              <w:t>机构投资者及进取型的个人投资者</w:t>
            </w:r>
          </w:p>
        </w:tc>
      </w:tr>
    </w:tbl>
    <w:p>
      <w:pPr>
        <w:numPr>
          <w:ilvl w:val="0"/>
          <w:numId w:val="20"/>
        </w:numPr>
        <w:spacing w:line="360" w:lineRule="auto"/>
        <w:rPr>
          <w:rFonts w:ascii="宋体" w:hAnsi="宋体" w:cs="Times New Roman"/>
          <w:b/>
          <w:bCs/>
          <w:kern w:val="0"/>
        </w:rPr>
      </w:pPr>
      <w:r>
        <w:rPr>
          <w:rFonts w:hint="eastAsia" w:ascii="宋体" w:hAnsi="宋体"/>
          <w:b/>
          <w:bCs/>
          <w:kern w:val="0"/>
        </w:rPr>
        <w:t>投资者风险承受能力评估</w:t>
      </w:r>
    </w:p>
    <w:p>
      <w:pPr>
        <w:numPr>
          <w:ilvl w:val="0"/>
          <w:numId w:val="21"/>
        </w:numPr>
        <w:spacing w:line="360" w:lineRule="auto"/>
        <w:rPr>
          <w:rFonts w:ascii="宋体" w:hAnsi="宋体"/>
          <w:kern w:val="0"/>
        </w:rPr>
      </w:pPr>
      <w:r>
        <w:rPr>
          <w:rFonts w:hint="eastAsia" w:ascii="宋体" w:hAnsi="宋体"/>
          <w:kern w:val="0"/>
        </w:rPr>
        <w:t>本理财计划销售工作及投资者适当性评估由销售机构负责。个人投资者首次通过销售机构购买杭银理财理财计划，须与销售机构签署相关协议，并按照该协议约定在销售机构进行风险承受能力评估，风险承受能力评估依据至少应当包括投资者年龄、财务状况、投资经验、投资目的、收益预期、风险偏好、流动性要求、风险认识及风险损失承受程度等。</w:t>
      </w:r>
    </w:p>
    <w:p>
      <w:pPr>
        <w:numPr>
          <w:ilvl w:val="0"/>
          <w:numId w:val="21"/>
        </w:numPr>
        <w:spacing w:line="360" w:lineRule="auto"/>
        <w:rPr>
          <w:rFonts w:ascii="宋体" w:hAnsi="宋体"/>
          <w:kern w:val="0"/>
        </w:rPr>
      </w:pPr>
      <w:r>
        <w:rPr>
          <w:rFonts w:hint="eastAsia" w:ascii="宋体" w:hAnsi="宋体"/>
          <w:kern w:val="0"/>
        </w:rPr>
        <w:t>个人投资者风险承受能力评估结果有效期为一年，如风险承受能力评估时效已超过一年，或影响风险承受能力的因素发生变化，请及时完成风险承受能力的重新评估。</w:t>
      </w:r>
    </w:p>
    <w:p>
      <w:pPr>
        <w:numPr>
          <w:ilvl w:val="0"/>
          <w:numId w:val="21"/>
        </w:numPr>
        <w:spacing w:line="360" w:lineRule="auto"/>
        <w:rPr>
          <w:rFonts w:ascii="宋体" w:hAnsi="宋体"/>
          <w:kern w:val="0"/>
        </w:rPr>
      </w:pPr>
      <w:r>
        <w:rPr>
          <w:rFonts w:hint="eastAsia" w:ascii="宋体" w:hAnsi="宋体"/>
          <w:kern w:val="0"/>
        </w:rPr>
        <w:t>个人投资者风险承受能力评估流程（详询销售机构工作人员）</w:t>
      </w:r>
    </w:p>
    <w:p>
      <w:pPr>
        <w:numPr>
          <w:ilvl w:val="0"/>
          <w:numId w:val="22"/>
        </w:numPr>
        <w:spacing w:line="360" w:lineRule="auto"/>
        <w:rPr>
          <w:rFonts w:ascii="宋体" w:hAnsi="宋体"/>
          <w:kern w:val="0"/>
        </w:rPr>
      </w:pPr>
      <w:r>
        <w:rPr>
          <w:rFonts w:hint="eastAsia" w:ascii="宋体" w:hAnsi="宋体"/>
          <w:kern w:val="0"/>
        </w:rPr>
        <w:t>个人投资者在销售机构进行风险承受能力评估；</w:t>
      </w:r>
    </w:p>
    <w:p>
      <w:pPr>
        <w:numPr>
          <w:ilvl w:val="0"/>
          <w:numId w:val="22"/>
        </w:numPr>
        <w:spacing w:line="360" w:lineRule="auto"/>
        <w:rPr>
          <w:rFonts w:ascii="宋体" w:hAnsi="宋体"/>
          <w:kern w:val="0"/>
        </w:rPr>
      </w:pPr>
      <w:r>
        <w:rPr>
          <w:rFonts w:hint="eastAsia" w:ascii="宋体" w:hAnsi="宋体"/>
          <w:kern w:val="0"/>
        </w:rPr>
        <w:t>填写销售机构个人投资者风险承受能力测试问卷；</w:t>
      </w:r>
    </w:p>
    <w:p>
      <w:pPr>
        <w:numPr>
          <w:ilvl w:val="0"/>
          <w:numId w:val="22"/>
        </w:numPr>
        <w:spacing w:line="360" w:lineRule="auto"/>
        <w:rPr>
          <w:rFonts w:ascii="宋体" w:hAnsi="宋体"/>
          <w:kern w:val="0"/>
        </w:rPr>
      </w:pPr>
      <w:r>
        <w:rPr>
          <w:rFonts w:hint="eastAsia" w:ascii="宋体" w:hAnsi="宋体"/>
          <w:kern w:val="0"/>
        </w:rPr>
        <w:t>生成相应的个人投资者风险承受能力评估结果；</w:t>
      </w:r>
    </w:p>
    <w:p>
      <w:pPr>
        <w:numPr>
          <w:ilvl w:val="0"/>
          <w:numId w:val="22"/>
        </w:numPr>
        <w:spacing w:line="360" w:lineRule="auto"/>
        <w:rPr>
          <w:rFonts w:ascii="宋体" w:hAnsi="宋体"/>
          <w:kern w:val="0"/>
        </w:rPr>
      </w:pPr>
      <w:r>
        <w:rPr>
          <w:rFonts w:hint="eastAsia" w:ascii="宋体" w:hAnsi="宋体"/>
          <w:kern w:val="0"/>
        </w:rPr>
        <w:t>投资者对评估结果进行确认。</w:t>
      </w:r>
    </w:p>
    <w:p>
      <w:pPr>
        <w:numPr>
          <w:ilvl w:val="0"/>
          <w:numId w:val="23"/>
        </w:numPr>
        <w:spacing w:line="360" w:lineRule="auto"/>
        <w:rPr>
          <w:rFonts w:ascii="宋体" w:hAnsi="宋体"/>
          <w:kern w:val="0"/>
        </w:rPr>
      </w:pPr>
      <w:r>
        <w:rPr>
          <w:rFonts w:hint="eastAsia" w:ascii="宋体" w:hAnsi="宋体"/>
          <w:kern w:val="0"/>
        </w:rPr>
        <w:t>风险承受能力评估结果将作为评价个人投资者是否适合购买理财计划的重要因素，风险承受能力评级越高适合购买的理财计划风险评级越高，适合购买的理财计划类型越丰富。</w:t>
      </w:r>
    </w:p>
    <w:p>
      <w:pPr>
        <w:numPr>
          <w:ilvl w:val="0"/>
          <w:numId w:val="23"/>
        </w:numPr>
        <w:spacing w:line="360" w:lineRule="auto"/>
        <w:rPr>
          <w:rFonts w:ascii="宋体" w:hAnsi="宋体"/>
          <w:kern w:val="0"/>
        </w:rPr>
      </w:pPr>
      <w:r>
        <w:rPr>
          <w:rFonts w:hint="eastAsia" w:ascii="宋体" w:hAnsi="宋体"/>
          <w:kern w:val="0"/>
        </w:rPr>
        <w:t>代销机构应当根据本机构的方式和方法，独立审慎地对理财计划进行销售评级，如销售评级与本公司产品评级结果不一致的，代理销售机构应当采用对应较高风险等级的评级结果并予以披露。在代销过程中，应充分揭示风险，确保个人投资者的风险承受能力等级不低于本理财计划最终披露的风险评级。如本理财计划通过代理销售机构渠道销售的，理财产品评级应当以代理销售机构最终披露的评级结果为准。</w:t>
      </w:r>
    </w:p>
    <w:p>
      <w:pPr>
        <w:numPr>
          <w:ilvl w:val="0"/>
          <w:numId w:val="23"/>
        </w:numPr>
        <w:spacing w:line="360" w:lineRule="auto"/>
        <w:rPr>
          <w:rFonts w:ascii="宋体" w:hAnsi="宋体"/>
          <w:kern w:val="0"/>
        </w:rPr>
      </w:pPr>
      <w:r>
        <w:rPr>
          <w:rFonts w:hint="eastAsia" w:ascii="宋体" w:hAnsi="宋体"/>
          <w:kern w:val="0"/>
        </w:rPr>
        <w:t>机构投资者购买理财计划前无须进行风险评估能力测试。机构投资者不适用个人投资者的风险承受能力评估，请机构投资者根据自身财务状况、投资风格、资金需求等要素，并在阅读本权益须知、产品说明书和风险揭示书的基础上，充分认识投资本理财计划需要承担的风险。</w:t>
      </w:r>
    </w:p>
    <w:p>
      <w:pPr>
        <w:spacing w:line="360" w:lineRule="auto"/>
        <w:ind w:firstLine="422" w:firstLineChars="200"/>
        <w:rPr>
          <w:rFonts w:ascii="宋体" w:hAnsi="宋体"/>
          <w:b/>
          <w:bCs/>
          <w:kern w:val="0"/>
        </w:rPr>
      </w:pPr>
      <w:r>
        <w:rPr>
          <w:rFonts w:hint="eastAsia" w:ascii="宋体" w:hAnsi="宋体"/>
          <w:b/>
          <w:bCs/>
          <w:kern w:val="0"/>
        </w:rPr>
        <w:t>四、理财计划信息披露</w:t>
      </w:r>
    </w:p>
    <w:p>
      <w:pPr>
        <w:spacing w:line="360" w:lineRule="auto"/>
        <w:ind w:firstLine="420" w:firstLineChars="200"/>
        <w:rPr>
          <w:rFonts w:ascii="宋体" w:hAnsi="宋体"/>
          <w:kern w:val="0"/>
        </w:rPr>
      </w:pPr>
      <w:r>
        <w:rPr>
          <w:rFonts w:hint="eastAsia" w:ascii="宋体" w:hAnsi="宋体"/>
          <w:kern w:val="0"/>
        </w:rPr>
        <w:t>本理财计划相关信息的披露方式、渠道和频率，您可以在理财计划说明书“信息披露”章节中查找到相关约定，并可通过本公司网站或销售机构（包括但不限于营业网点、门户网站、电子销售渠道等）查询具体披露信息。相关信息在发布或发出之日视为通知送达，请您及时查询。</w:t>
      </w:r>
    </w:p>
    <w:p>
      <w:pPr>
        <w:spacing w:line="360" w:lineRule="auto"/>
        <w:ind w:firstLine="422" w:firstLineChars="200"/>
        <w:rPr>
          <w:rFonts w:ascii="宋体" w:hAnsi="宋体"/>
          <w:b/>
          <w:bCs/>
          <w:kern w:val="0"/>
        </w:rPr>
      </w:pPr>
      <w:r>
        <w:rPr>
          <w:rFonts w:hint="eastAsia" w:ascii="宋体" w:hAnsi="宋体"/>
          <w:b/>
          <w:bCs/>
          <w:kern w:val="0"/>
        </w:rPr>
        <w:t>五、投资者信息管理</w:t>
      </w:r>
    </w:p>
    <w:p>
      <w:pPr>
        <w:spacing w:line="360" w:lineRule="auto"/>
        <w:ind w:firstLine="420" w:firstLineChars="200"/>
        <w:rPr>
          <w:rFonts w:ascii="宋体" w:hAnsi="宋体"/>
          <w:kern w:val="0"/>
        </w:rPr>
      </w:pPr>
      <w:r>
        <w:rPr>
          <w:rFonts w:hint="eastAsia" w:ascii="宋体" w:hAnsi="宋体"/>
          <w:kern w:val="0"/>
        </w:rPr>
        <w:t>销售机构应当根据反洗钱、反恐怖融资及非居民金融账户涉税信息尽职调查等相关法律法规要求识别客户身份。投资者通过公司认可的销售机构购买本公司理财的，视为同意公司获取投资者相关理财业务资料及信息。</w:t>
      </w:r>
    </w:p>
    <w:p>
      <w:pPr>
        <w:spacing w:line="360" w:lineRule="auto"/>
        <w:ind w:firstLine="420" w:firstLineChars="200"/>
        <w:rPr>
          <w:rFonts w:ascii="宋体" w:hAnsi="宋体"/>
          <w:kern w:val="0"/>
        </w:rPr>
      </w:pPr>
      <w:r>
        <w:rPr>
          <w:rFonts w:hint="eastAsia" w:ascii="宋体" w:hAnsi="宋体"/>
          <w:kern w:val="0"/>
        </w:rPr>
        <w:t>本公司及销售机构收集、使用个人信息，应当按照法律法规规定，遵循正当、必要原则，保证信息采集、处理及使用的安全性和合法性。未经客户专门授权，不得将投资者信息及相关理财计划销售信息提供其他第三方机构和个人，法律、行政法规和国务院银行业监督管理机构另有规定的除外。</w:t>
      </w:r>
    </w:p>
    <w:p>
      <w:pPr>
        <w:spacing w:line="360" w:lineRule="auto"/>
        <w:ind w:firstLine="422" w:firstLineChars="200"/>
        <w:rPr>
          <w:rFonts w:ascii="宋体" w:hAnsi="宋体"/>
          <w:b/>
          <w:bCs/>
          <w:kern w:val="0"/>
        </w:rPr>
      </w:pPr>
      <w:r>
        <w:rPr>
          <w:rFonts w:hint="eastAsia" w:ascii="宋体" w:hAnsi="宋体"/>
          <w:b/>
          <w:bCs/>
          <w:kern w:val="0"/>
        </w:rPr>
        <w:t>六、投诉与建议</w:t>
      </w:r>
    </w:p>
    <w:p>
      <w:pPr>
        <w:numPr>
          <w:ilvl w:val="0"/>
          <w:numId w:val="24"/>
        </w:numPr>
        <w:spacing w:line="360" w:lineRule="auto"/>
        <w:rPr>
          <w:rFonts w:hint="eastAsia" w:ascii="宋体" w:hAnsi="宋体"/>
          <w:kern w:val="0"/>
        </w:rPr>
      </w:pPr>
      <w:r>
        <w:rPr>
          <w:rFonts w:hint="eastAsia" w:ascii="宋体" w:hAnsi="宋体"/>
          <w:kern w:val="0"/>
        </w:rPr>
        <w:t>投资者如认为销售机构推介、销售理财计划时有不实或未尽风险告知职责或其它疑义事项，或对理财计划、销售机构及理财计划管理人服务有任何意见或建议，可通过拨打销售机构热线或客服电话进行反馈。销售机构将由专人接听、记录您的意见建议，并由双方协商共同解决。</w:t>
      </w:r>
    </w:p>
    <w:p>
      <w:pPr>
        <w:numPr>
          <w:ilvl w:val="0"/>
          <w:numId w:val="0"/>
        </w:numPr>
        <w:spacing w:line="360" w:lineRule="auto"/>
        <w:ind w:left="420" w:leftChars="0"/>
        <w:rPr>
          <w:rFonts w:ascii="宋体" w:hAnsi="宋体"/>
          <w:kern w:val="0"/>
        </w:rPr>
      </w:pPr>
      <w:r>
        <w:rPr>
          <w:rFonts w:hint="eastAsia" w:ascii="宋体" w:hAnsi="宋体"/>
          <w:kern w:val="0"/>
          <w:lang w:eastAsia="zh-CN"/>
        </w:rPr>
        <w:t>（</w:t>
      </w:r>
      <w:r>
        <w:rPr>
          <w:rFonts w:hint="eastAsia" w:ascii="宋体" w:hAnsi="宋体"/>
          <w:kern w:val="0"/>
          <w:lang w:val="en-US" w:eastAsia="zh-CN"/>
        </w:rPr>
        <w:t>二</w:t>
      </w:r>
      <w:r>
        <w:rPr>
          <w:rFonts w:hint="eastAsia" w:ascii="宋体" w:hAnsi="宋体"/>
          <w:kern w:val="0"/>
          <w:lang w:eastAsia="zh-CN"/>
        </w:rPr>
        <w:t>）</w:t>
      </w:r>
      <w:r>
        <w:rPr>
          <w:rFonts w:hint="eastAsia" w:ascii="宋体" w:hAnsi="宋体"/>
          <w:kern w:val="0"/>
        </w:rPr>
        <w:t>投诉流程及联络方式</w:t>
      </w:r>
    </w:p>
    <w:p>
      <w:pPr>
        <w:spacing w:line="360" w:lineRule="auto"/>
        <w:ind w:firstLine="420" w:firstLineChars="200"/>
        <w:rPr>
          <w:rFonts w:ascii="宋体" w:hAnsi="宋体"/>
          <w:kern w:val="0"/>
          <w:lang w:val="zh-CN"/>
        </w:rPr>
      </w:pPr>
      <w:r>
        <w:rPr>
          <w:rFonts w:hint="eastAsia" w:ascii="宋体" w:hAnsi="宋体"/>
          <w:kern w:val="0"/>
          <w:lang w:val="zh-CN"/>
        </w:rPr>
        <w:t>投资者若需投诉，请随时拨打石嘴山银行（销售机构）24小时客户服务热线：96789；投资者也可拨打理财产品销售文件上载明的理财服务人员联系电话、销售网点联系电话进行投诉。</w:t>
      </w:r>
    </w:p>
    <w:p>
      <w:pPr>
        <w:spacing w:line="360" w:lineRule="auto"/>
        <w:ind w:firstLine="420" w:firstLineChars="200"/>
        <w:rPr>
          <w:rFonts w:ascii="宋体" w:hAnsi="宋体"/>
          <w:kern w:val="0"/>
          <w:lang w:val="zh-CN"/>
        </w:rPr>
      </w:pPr>
      <w:r>
        <w:rPr>
          <w:rFonts w:hint="eastAsia" w:ascii="宋体" w:hAnsi="宋体"/>
          <w:kern w:val="0"/>
          <w:lang w:val="zh-CN"/>
        </w:rPr>
        <w:t>相关部门和人员将在接到投资者的投诉后，按照以下流程进行处理：核实交易记录和交易情形、调查理财服务人员、形成反馈意见、反馈投资者并征询意见、按一致意见处理投诉等。</w:t>
      </w:r>
    </w:p>
    <w:p>
      <w:pPr>
        <w:spacing w:line="360" w:lineRule="auto"/>
        <w:ind w:firstLine="420" w:firstLineChars="200"/>
        <w:rPr>
          <w:rFonts w:ascii="宋体" w:hAnsi="宋体"/>
          <w:kern w:val="0"/>
          <w:lang w:val="zh-CN"/>
        </w:rPr>
      </w:pPr>
      <w:r>
        <w:rPr>
          <w:rFonts w:hint="eastAsia" w:ascii="宋体" w:hAnsi="宋体"/>
          <w:kern w:val="0"/>
        </w:rPr>
        <w:t>石嘴山银行官网网站：</w:t>
      </w:r>
      <w:r>
        <w:fldChar w:fldCharType="begin"/>
      </w:r>
      <w:r>
        <w:instrText xml:space="preserve">HYPERLINK "http://www.szsccb.com"</w:instrText>
      </w:r>
      <w:r>
        <w:fldChar w:fldCharType="separate"/>
      </w:r>
      <w:r>
        <w:rPr>
          <w:rStyle w:val="16"/>
          <w:rFonts w:hint="eastAsia" w:ascii="宋体" w:hAnsi="宋体"/>
          <w:kern w:val="0"/>
        </w:rPr>
        <w:t>www.szsccb.com</w:t>
      </w:r>
      <w:r>
        <w:fldChar w:fldCharType="end"/>
      </w:r>
      <w:r>
        <w:rPr>
          <w:rFonts w:hint="eastAsia" w:ascii="宋体" w:hAnsi="宋体"/>
          <w:kern w:val="0"/>
        </w:rPr>
        <w:t>。</w:t>
      </w:r>
    </w:p>
    <w:p>
      <w:pPr>
        <w:spacing w:line="360" w:lineRule="auto"/>
        <w:ind w:firstLine="420" w:firstLineChars="200"/>
        <w:rPr>
          <w:rFonts w:hint="eastAsia" w:ascii="宋体" w:hAnsi="宋体"/>
          <w:kern w:val="0"/>
        </w:rPr>
      </w:pPr>
      <w:r>
        <w:rPr>
          <w:rFonts w:hint="eastAsia" w:ascii="宋体" w:hAnsi="宋体"/>
          <w:kern w:val="0"/>
          <w:lang w:eastAsia="zh-CN"/>
        </w:rPr>
        <w:t>（</w:t>
      </w:r>
      <w:r>
        <w:rPr>
          <w:rFonts w:hint="eastAsia" w:ascii="宋体" w:hAnsi="宋体"/>
          <w:kern w:val="0"/>
          <w:lang w:val="en-US" w:eastAsia="zh-CN"/>
        </w:rPr>
        <w:t>三</w:t>
      </w:r>
      <w:r>
        <w:rPr>
          <w:rFonts w:hint="eastAsia" w:ascii="宋体" w:hAnsi="宋体"/>
          <w:kern w:val="0"/>
          <w:lang w:eastAsia="zh-CN"/>
        </w:rPr>
        <w:t>）</w:t>
      </w:r>
      <w:r>
        <w:rPr>
          <w:rFonts w:hint="eastAsia" w:ascii="宋体" w:hAnsi="宋体"/>
          <w:kern w:val="0"/>
        </w:rPr>
        <w:t>杭银理财联络方式：</w:t>
      </w:r>
    </w:p>
    <w:p>
      <w:pPr>
        <w:pStyle w:val="35"/>
        <w:numPr>
          <w:ilvl w:val="0"/>
          <w:numId w:val="25"/>
        </w:numPr>
        <w:spacing w:line="360" w:lineRule="auto"/>
        <w:ind w:firstLineChars="0"/>
        <w:rPr>
          <w:rFonts w:hint="eastAsia" w:ascii="宋体" w:hAnsi="宋体"/>
          <w:kern w:val="0"/>
          <w:szCs w:val="21"/>
        </w:rPr>
      </w:pPr>
      <w:r>
        <w:rPr>
          <w:rFonts w:hint="eastAsia" w:ascii="宋体" w:hAnsi="宋体"/>
          <w:kern w:val="0"/>
          <w:szCs w:val="21"/>
        </w:rPr>
        <w:t>官方网站：暂无</w:t>
      </w:r>
    </w:p>
    <w:p>
      <w:pPr>
        <w:pStyle w:val="35"/>
        <w:numPr>
          <w:ilvl w:val="0"/>
          <w:numId w:val="25"/>
        </w:numPr>
        <w:spacing w:line="360" w:lineRule="auto"/>
        <w:ind w:firstLineChars="0"/>
        <w:rPr>
          <w:rFonts w:hint="eastAsia" w:ascii="宋体" w:hAnsi="宋体"/>
          <w:kern w:val="0"/>
          <w:szCs w:val="21"/>
        </w:rPr>
      </w:pPr>
      <w:r>
        <w:rPr>
          <w:rFonts w:hint="eastAsia" w:ascii="宋体" w:hAnsi="宋体"/>
          <w:kern w:val="0"/>
          <w:szCs w:val="21"/>
        </w:rPr>
        <w:t>公司地址：杭州市拱墅区庆春路38号金龙财富中心6楼</w:t>
      </w:r>
    </w:p>
    <w:p>
      <w:pPr>
        <w:spacing w:line="520" w:lineRule="exact"/>
        <w:ind w:firstLine="0" w:firstLineChars="0"/>
        <w:rPr>
          <w:rFonts w:hint="eastAsia" w:ascii="宋体" w:hAnsi="Wingdings" w:cs="宋体"/>
          <w:color w:val="000000"/>
          <w:kern w:val="0"/>
        </w:rPr>
      </w:pPr>
      <w:r>
        <w:rPr>
          <w:rFonts w:hint="eastAsia" w:ascii="宋体" w:hAnsi="宋体"/>
          <w:kern w:val="0"/>
        </w:rPr>
        <w:t>若上述联系方式变更，杭银理财将提前通过原官方网站及时告知投资者</w:t>
      </w:r>
      <w:bookmarkStart w:id="3" w:name="_GoBack"/>
      <w:bookmarkEnd w:id="3"/>
    </w:p>
    <w:p>
      <w:pPr>
        <w:spacing w:line="520" w:lineRule="exact"/>
        <w:ind w:firstLine="0" w:firstLineChars="0"/>
        <w:rPr>
          <w:rFonts w:hint="eastAsia" w:ascii="宋体" w:hAnsi="Wingdings" w:cs="宋体"/>
          <w:color w:val="000000"/>
          <w:kern w:val="0"/>
        </w:rPr>
      </w:pPr>
    </w:p>
    <w:p>
      <w:pPr>
        <w:spacing w:line="520" w:lineRule="exact"/>
        <w:ind w:firstLine="0" w:firstLineChars="0"/>
        <w:rPr>
          <w:rFonts w:hint="eastAsia" w:ascii="宋体" w:hAnsi="Wingdings" w:cs="宋体"/>
          <w:color w:val="000000"/>
          <w:kern w:val="0"/>
        </w:rPr>
      </w:pPr>
    </w:p>
    <w:p>
      <w:pPr>
        <w:spacing w:line="520" w:lineRule="exact"/>
        <w:ind w:firstLine="0" w:firstLineChars="0"/>
        <w:rPr>
          <w:rFonts w:hint="eastAsia" w:ascii="宋体" w:hAnsi="Wingdings" w:cs="宋体"/>
          <w:color w:val="000000"/>
          <w:kern w:val="0"/>
        </w:rPr>
      </w:pPr>
    </w:p>
    <w:p>
      <w:pPr>
        <w:spacing w:line="520" w:lineRule="exact"/>
        <w:ind w:firstLine="0" w:firstLineChars="0"/>
        <w:rPr>
          <w:rFonts w:hint="eastAsia" w:ascii="宋体" w:hAnsi="Wingdings" w:cs="宋体"/>
          <w:color w:val="000000"/>
          <w:kern w:val="0"/>
        </w:rPr>
      </w:pPr>
    </w:p>
    <w:p>
      <w:pPr>
        <w:spacing w:line="520" w:lineRule="exact"/>
        <w:ind w:firstLine="0" w:firstLineChars="0"/>
        <w:rPr>
          <w:rFonts w:hint="eastAsia" w:ascii="宋体" w:hAnsi="Wingdings" w:cs="宋体"/>
          <w:color w:val="000000"/>
          <w:kern w:val="0"/>
        </w:rPr>
      </w:pPr>
    </w:p>
    <w:p>
      <w:pPr>
        <w:spacing w:line="520" w:lineRule="exact"/>
        <w:ind w:firstLine="0" w:firstLineChars="0"/>
        <w:rPr>
          <w:rFonts w:hint="eastAsia" w:ascii="宋体" w:hAnsi="Wingdings" w:cs="宋体"/>
          <w:color w:val="000000"/>
          <w:kern w:val="0"/>
        </w:rPr>
      </w:pPr>
    </w:p>
    <w:p>
      <w:pPr>
        <w:spacing w:line="520" w:lineRule="exact"/>
        <w:ind w:firstLine="0" w:firstLineChars="0"/>
        <w:rPr>
          <w:rFonts w:hint="eastAsia" w:ascii="宋体" w:hAnsi="Wingdings" w:cs="宋体"/>
          <w:color w:val="000000"/>
          <w:kern w:val="0"/>
        </w:rPr>
      </w:pPr>
    </w:p>
    <w:p>
      <w:pPr>
        <w:spacing w:line="520" w:lineRule="exact"/>
        <w:ind w:firstLine="0" w:firstLineChars="0"/>
        <w:rPr>
          <w:rFonts w:hint="eastAsia" w:ascii="宋体" w:hAnsi="Wingdings" w:cs="宋体"/>
          <w:color w:val="000000"/>
          <w:kern w:val="0"/>
        </w:rPr>
      </w:pPr>
    </w:p>
    <w:p>
      <w:pPr>
        <w:spacing w:line="520" w:lineRule="exact"/>
        <w:ind w:firstLine="0" w:firstLineChars="0"/>
        <w:rPr>
          <w:rFonts w:hint="eastAsia" w:ascii="宋体" w:hAnsi="Wingdings" w:cs="宋体"/>
          <w:color w:val="000000"/>
          <w:kern w:val="0"/>
        </w:rPr>
      </w:pPr>
    </w:p>
    <w:p>
      <w:pPr>
        <w:spacing w:line="520" w:lineRule="exact"/>
        <w:ind w:firstLine="0" w:firstLineChars="0"/>
        <w:rPr>
          <w:rFonts w:hint="eastAsia" w:ascii="宋体" w:hAnsi="Wingdings" w:cs="宋体"/>
          <w:color w:val="000000"/>
          <w:kern w:val="0"/>
        </w:rPr>
      </w:pPr>
    </w:p>
    <w:p>
      <w:pPr>
        <w:spacing w:line="520" w:lineRule="exact"/>
        <w:ind w:firstLine="0" w:firstLineChars="0"/>
        <w:rPr>
          <w:rFonts w:hint="eastAsia" w:ascii="宋体" w:hAnsi="Wingdings" w:cs="宋体"/>
          <w:color w:val="000000"/>
          <w:kern w:val="0"/>
        </w:rPr>
      </w:pPr>
    </w:p>
    <w:p>
      <w:pPr>
        <w:spacing w:line="520" w:lineRule="exact"/>
        <w:ind w:firstLine="0" w:firstLineChars="0"/>
        <w:rPr>
          <w:rFonts w:hint="eastAsia" w:ascii="宋体" w:hAnsi="Wingdings" w:cs="宋体"/>
          <w:color w:val="000000"/>
          <w:kern w:val="0"/>
        </w:rPr>
      </w:pPr>
    </w:p>
    <w:p>
      <w:pPr>
        <w:spacing w:line="520" w:lineRule="exact"/>
        <w:ind w:firstLine="0" w:firstLineChars="0"/>
        <w:rPr>
          <w:rFonts w:hint="eastAsia" w:ascii="宋体" w:hAnsi="Wingdings" w:cs="宋体"/>
          <w:color w:val="000000"/>
          <w:kern w:val="0"/>
        </w:rPr>
      </w:pPr>
    </w:p>
    <w:p>
      <w:pPr>
        <w:spacing w:line="520" w:lineRule="exact"/>
        <w:ind w:firstLine="0" w:firstLineChars="0"/>
        <w:rPr>
          <w:rFonts w:hint="eastAsia" w:ascii="宋体" w:hAnsi="Wingdings" w:cs="宋体"/>
          <w:color w:val="000000"/>
          <w:kern w:val="0"/>
        </w:rPr>
      </w:pPr>
    </w:p>
    <w:p>
      <w:pPr>
        <w:spacing w:line="520" w:lineRule="exact"/>
        <w:ind w:firstLine="0" w:firstLineChars="0"/>
        <w:rPr>
          <w:rFonts w:hint="eastAsia" w:ascii="宋体" w:hAnsi="Wingdings" w:cs="宋体"/>
          <w:color w:val="000000"/>
          <w:kern w:val="0"/>
        </w:rPr>
      </w:pPr>
    </w:p>
    <w:p>
      <w:pPr>
        <w:spacing w:line="520" w:lineRule="exact"/>
        <w:ind w:firstLine="0" w:firstLineChars="0"/>
        <w:rPr>
          <w:rFonts w:hint="eastAsia" w:ascii="宋体" w:hAnsi="Wingdings" w:cs="宋体"/>
          <w:color w:val="000000"/>
          <w:kern w:val="0"/>
        </w:rPr>
      </w:pPr>
    </w:p>
    <w:p>
      <w:pPr>
        <w:spacing w:line="520" w:lineRule="exact"/>
        <w:ind w:firstLine="0" w:firstLineChars="0"/>
        <w:rPr>
          <w:rFonts w:hint="eastAsia" w:ascii="宋体" w:hAnsi="Wingdings" w:cs="宋体"/>
          <w:color w:val="000000"/>
          <w:kern w:val="0"/>
        </w:rPr>
      </w:pPr>
    </w:p>
    <w:p>
      <w:pPr>
        <w:spacing w:line="520" w:lineRule="exact"/>
        <w:ind w:firstLine="0" w:firstLineChars="0"/>
        <w:rPr>
          <w:rFonts w:hint="eastAsia" w:ascii="宋体" w:hAnsi="Wingdings" w:cs="宋体"/>
          <w:color w:val="000000"/>
          <w:kern w:val="0"/>
        </w:rPr>
      </w:pPr>
    </w:p>
    <w:p>
      <w:pPr>
        <w:spacing w:line="520" w:lineRule="exact"/>
        <w:ind w:firstLine="0" w:firstLineChars="0"/>
        <w:rPr>
          <w:rFonts w:hint="eastAsia" w:ascii="宋体" w:hAnsi="Wingdings" w:cs="宋体"/>
          <w:color w:val="000000"/>
          <w:kern w:val="0"/>
        </w:rPr>
      </w:pPr>
    </w:p>
    <w:p>
      <w:pPr>
        <w:spacing w:line="520" w:lineRule="exact"/>
        <w:ind w:firstLine="0" w:firstLineChars="0"/>
        <w:rPr>
          <w:rFonts w:hint="eastAsia" w:ascii="宋体" w:hAnsi="Wingdings" w:cs="宋体"/>
          <w:color w:val="000000"/>
          <w:kern w:val="0"/>
        </w:rPr>
      </w:pPr>
    </w:p>
    <w:p>
      <w:pPr>
        <w:spacing w:line="520" w:lineRule="exact"/>
        <w:ind w:firstLine="0" w:firstLineChars="0"/>
        <w:rPr>
          <w:rFonts w:hint="eastAsia" w:ascii="宋体" w:hAnsi="Wingdings" w:cs="宋体"/>
          <w:color w:val="000000"/>
          <w:kern w:val="0"/>
        </w:rPr>
      </w:pPr>
    </w:p>
    <w:p>
      <w:pPr>
        <w:spacing w:line="520" w:lineRule="exact"/>
        <w:ind w:firstLine="424" w:firstLineChars="202"/>
        <w:rPr>
          <w:rFonts w:hint="eastAsia" w:ascii="宋体" w:hAnsi="Wingdings" w:cs="宋体"/>
          <w:color w:val="000000"/>
          <w:kern w:val="0"/>
        </w:rPr>
      </w:pPr>
    </w:p>
    <w:p>
      <w:pPr>
        <w:spacing w:line="520" w:lineRule="exact"/>
        <w:ind w:firstLine="424" w:firstLineChars="202"/>
        <w:rPr>
          <w:rFonts w:hint="eastAsia" w:ascii="宋体" w:hAnsi="Wingdings" w:cs="宋体"/>
          <w:color w:val="000000"/>
          <w:kern w:val="0"/>
        </w:rPr>
      </w:pPr>
    </w:p>
    <w:p>
      <w:pPr>
        <w:jc w:val="center"/>
        <w:rPr>
          <w:rFonts w:ascii="宋体" w:hAnsi="宋体"/>
          <w:b/>
          <w:bCs/>
          <w:sz w:val="32"/>
          <w:szCs w:val="32"/>
        </w:rPr>
      </w:pPr>
      <w:r>
        <w:rPr>
          <w:rFonts w:hint="eastAsia" w:ascii="宋体" w:hAnsi="宋体"/>
          <w:b/>
          <w:bCs/>
          <w:sz w:val="32"/>
          <w:szCs w:val="32"/>
        </w:rPr>
        <w:t>杭银理财理财计划投资协议书</w:t>
      </w:r>
    </w:p>
    <w:p>
      <w:pPr>
        <w:jc w:val="center"/>
        <w:rPr>
          <w:rFonts w:ascii="宋体" w:hAnsi="宋体"/>
          <w:b/>
          <w:bCs/>
        </w:rPr>
      </w:pPr>
      <w:r>
        <w:rPr>
          <w:rFonts w:hint="eastAsia" w:ascii="宋体" w:hAnsi="宋体"/>
        </w:rPr>
        <w:t>（202101版）</w:t>
      </w:r>
    </w:p>
    <w:p>
      <w:pPr>
        <w:jc w:val="center"/>
        <w:rPr>
          <w:rFonts w:ascii="宋体" w:hAnsi="宋体"/>
          <w:b/>
          <w:bCs/>
        </w:rPr>
      </w:pPr>
    </w:p>
    <w:p>
      <w:pPr>
        <w:spacing w:line="360" w:lineRule="auto"/>
        <w:ind w:firstLine="422" w:firstLineChars="200"/>
        <w:rPr>
          <w:rFonts w:ascii="宋体" w:hAnsi="宋体"/>
          <w:b/>
          <w:bCs/>
        </w:rPr>
      </w:pPr>
      <w:r>
        <w:rPr>
          <w:rFonts w:hint="eastAsia" w:ascii="宋体" w:hAnsi="宋体"/>
          <w:b/>
          <w:bCs/>
        </w:rPr>
        <w:t>特别提示：杭银理财理财计划投资协议书与杭银理财理财计划</w:t>
      </w:r>
      <w:r>
        <w:rPr>
          <w:rFonts w:hint="eastAsia" w:ascii="宋体" w:hAnsi="宋体"/>
          <w:b/>
          <w:bCs/>
          <w:lang w:val="en-US" w:eastAsia="zh-CN"/>
        </w:rPr>
        <w:t>销售</w:t>
      </w:r>
      <w:r>
        <w:rPr>
          <w:rFonts w:hint="eastAsia" w:ascii="宋体" w:hAnsi="宋体"/>
          <w:b/>
          <w:bCs/>
        </w:rPr>
        <w:t>协议书</w:t>
      </w:r>
      <w:r>
        <w:rPr>
          <w:rFonts w:hint="eastAsia" w:ascii="宋体" w:hAnsi="宋体"/>
          <w:b/>
          <w:bCs/>
          <w:lang w:eastAsia="zh-CN"/>
        </w:rPr>
        <w:t>、</w:t>
      </w:r>
      <w:r>
        <w:rPr>
          <w:rFonts w:hint="eastAsia" w:ascii="宋体" w:hAnsi="宋体"/>
          <w:b/>
          <w:bCs/>
        </w:rPr>
        <w:t>投资者权益须知、风险揭示书及理财计划说明书共同构成完整且不可分割的理财计划合同。杭银理财有限责任公司（以下简称“杭银理财”）建议投资者在购买理财计划前认真阅读理财计划合同，投资者签署协议书（含电子渠道签署）即视为已详细阅读理财计划合同并知悉相关风险，自愿投资购买理财计划、遵守合同约定并承担相应风险。</w:t>
      </w:r>
    </w:p>
    <w:p>
      <w:pPr>
        <w:spacing w:line="360" w:lineRule="auto"/>
        <w:ind w:firstLine="420" w:firstLineChars="200"/>
        <w:rPr>
          <w:rFonts w:ascii="宋体" w:hAnsi="宋体"/>
        </w:rPr>
      </w:pPr>
      <w:r>
        <w:rPr>
          <w:rFonts w:hint="eastAsia" w:ascii="宋体" w:hAnsi="宋体"/>
        </w:rPr>
        <w:t>投资者与管理人（即杭银理财有限责任公司）经平等友好协商，本着自愿、诚实信用原则，就投资者购买管理人发行的理财计划有关事宜达成如下协议（以下简称“本协议”）：</w:t>
      </w:r>
    </w:p>
    <w:p>
      <w:pPr>
        <w:numPr>
          <w:ilvl w:val="0"/>
          <w:numId w:val="26"/>
        </w:numPr>
        <w:spacing w:line="360" w:lineRule="auto"/>
        <w:ind w:firstLine="422" w:firstLineChars="200"/>
        <w:rPr>
          <w:rFonts w:ascii="宋体" w:hAnsi="宋体"/>
          <w:b/>
          <w:bCs/>
        </w:rPr>
      </w:pPr>
      <w:r>
        <w:rPr>
          <w:rFonts w:hint="eastAsia" w:ascii="宋体" w:hAnsi="宋体"/>
          <w:b/>
          <w:bCs/>
        </w:rPr>
        <w:t>名词释义</w:t>
      </w:r>
    </w:p>
    <w:p>
      <w:pPr>
        <w:spacing w:line="360" w:lineRule="auto"/>
        <w:ind w:firstLine="420" w:firstLineChars="200"/>
        <w:rPr>
          <w:rFonts w:ascii="宋体" w:hAnsi="宋体"/>
        </w:rPr>
      </w:pPr>
      <w:r>
        <w:rPr>
          <w:rFonts w:hint="eastAsia" w:ascii="宋体" w:hAnsi="宋体"/>
        </w:rPr>
        <w:t>详见理财计划说明书“释义”部分。</w:t>
      </w:r>
    </w:p>
    <w:p>
      <w:pPr>
        <w:numPr>
          <w:ilvl w:val="0"/>
          <w:numId w:val="26"/>
        </w:numPr>
        <w:spacing w:line="360" w:lineRule="auto"/>
        <w:ind w:firstLine="422" w:firstLineChars="200"/>
        <w:rPr>
          <w:rFonts w:ascii="宋体" w:hAnsi="宋体"/>
          <w:b/>
          <w:bCs/>
        </w:rPr>
      </w:pPr>
      <w:r>
        <w:rPr>
          <w:rFonts w:hint="eastAsia" w:ascii="宋体" w:hAnsi="宋体"/>
          <w:b/>
          <w:bCs/>
        </w:rPr>
        <w:t>投资者权利与义务</w:t>
      </w:r>
    </w:p>
    <w:p>
      <w:pPr>
        <w:widowControl/>
        <w:numPr>
          <w:ilvl w:val="0"/>
          <w:numId w:val="27"/>
        </w:numPr>
        <w:spacing w:line="360" w:lineRule="auto"/>
        <w:contextualSpacing/>
        <w:rPr>
          <w:rFonts w:ascii="宋体" w:hAnsi="宋体"/>
        </w:rPr>
      </w:pPr>
      <w:r>
        <w:rPr>
          <w:rFonts w:hint="eastAsia" w:ascii="宋体" w:hAnsi="宋体"/>
        </w:rPr>
        <w:t>投资者应当保证其理财资金为合法拥有的自有资金，不存在涉嫌洗钱、恶意逃避税收征收管理等违法违规行为。投资者不得使用贷款、发行债券等方式筹集的非自有资金购买理财计划。投资者将其自有资金用作本理财计划投资协议书条款项下理财交易并不违反相关法律、法规、规章、规定、</w:t>
      </w:r>
      <w:r>
        <w:rPr>
          <w:rFonts w:hint="eastAsia" w:ascii="宋体" w:hAnsi="宋体"/>
          <w:color w:val="000000"/>
          <w:kern w:val="0"/>
        </w:rPr>
        <w:t xml:space="preserve">法院裁定或命令的要求，投资者具有完全民事行为能力，能够自行识别、判断和承担理财计划的相关风险；不存在法律法规、有权机关或主管机关禁止或限制购买理财计划的各种情形。投资者按其投资金额在本理财计划投资协议书中享有相应的权利，承担相应的义务和风险。 </w:t>
      </w:r>
    </w:p>
    <w:p>
      <w:pPr>
        <w:widowControl/>
        <w:numPr>
          <w:ilvl w:val="0"/>
          <w:numId w:val="27"/>
        </w:numPr>
        <w:spacing w:line="360" w:lineRule="auto"/>
        <w:contextualSpacing/>
        <w:rPr>
          <w:rFonts w:ascii="宋体" w:hAnsi="宋体"/>
        </w:rPr>
      </w:pPr>
      <w:r>
        <w:rPr>
          <w:rFonts w:hint="eastAsia" w:ascii="宋体" w:hAnsi="宋体"/>
        </w:rPr>
        <w:t>投资者保证自身完全了解理财投资的性质，投资所涉及的风险以及自身风险承受能力，在慎重考虑后独立作出交易决定。</w:t>
      </w:r>
    </w:p>
    <w:p>
      <w:pPr>
        <w:widowControl/>
        <w:numPr>
          <w:ilvl w:val="0"/>
          <w:numId w:val="27"/>
        </w:numPr>
        <w:spacing w:line="360" w:lineRule="auto"/>
        <w:contextualSpacing/>
        <w:rPr>
          <w:rFonts w:ascii="宋体" w:hAnsi="宋体"/>
        </w:rPr>
      </w:pPr>
      <w:r>
        <w:rPr>
          <w:rFonts w:hint="eastAsia" w:ascii="宋体" w:hAnsi="宋体"/>
        </w:rPr>
        <w:t>投资者保证其有权利签署本协议和履行本协议所述的义务，并已为此采取一切所需的行为。</w:t>
      </w:r>
    </w:p>
    <w:p>
      <w:pPr>
        <w:widowControl/>
        <w:numPr>
          <w:ilvl w:val="0"/>
          <w:numId w:val="27"/>
        </w:numPr>
        <w:spacing w:line="360" w:lineRule="auto"/>
        <w:contextualSpacing/>
        <w:rPr>
          <w:rFonts w:ascii="宋体" w:hAnsi="宋体"/>
        </w:rPr>
      </w:pPr>
      <w:r>
        <w:rPr>
          <w:rFonts w:hint="eastAsia" w:ascii="宋体" w:hAnsi="宋体"/>
        </w:rPr>
        <w:t>投资者保证执行及交付任何文件或履行本协议项下的义务，均不会违反任何适用法律、法规、法令或法律限制，任何法院或其他政府机关所作出的适用于投资者或投资者任何资产的指令或判决；对投资者或投资者任何资产有约束力的任何重大协议条款。投资者应在签署本协议的同时在授权指定账户存入足额的资金以确保账户余额大于或等于认/申购金额。</w:t>
      </w:r>
    </w:p>
    <w:p>
      <w:pPr>
        <w:widowControl/>
        <w:numPr>
          <w:ilvl w:val="0"/>
          <w:numId w:val="27"/>
        </w:numPr>
        <w:spacing w:line="360" w:lineRule="auto"/>
        <w:contextualSpacing/>
        <w:rPr>
          <w:rFonts w:ascii="宋体" w:hAnsi="宋体"/>
        </w:rPr>
      </w:pPr>
      <w:r>
        <w:rPr>
          <w:rFonts w:hint="eastAsia" w:ascii="宋体" w:hAnsi="宋体"/>
        </w:rPr>
        <w:t xml:space="preserve">本协议终止前，投资者应保证其“授权指定账户”处于正常状态，投资者授权指定账户发生资金余额不足、挂失、换卡、长期不动户等。特殊情况或被有权机关采取冻结、扣划、强制措施等变更或异常情形，导致认/申购不成功，以及在本理财计划存续期内如因有权机关依法采取强制措施导致理财份额、理财账户、授权指定账户被冻结或扣划的，管理人对此不承担任何责任。 </w:t>
      </w:r>
    </w:p>
    <w:p>
      <w:pPr>
        <w:widowControl/>
        <w:numPr>
          <w:ilvl w:val="0"/>
          <w:numId w:val="27"/>
        </w:numPr>
        <w:spacing w:line="360" w:lineRule="auto"/>
        <w:contextualSpacing/>
        <w:rPr>
          <w:rFonts w:ascii="宋体" w:hAnsi="宋体"/>
        </w:rPr>
      </w:pPr>
      <w:r>
        <w:rPr>
          <w:rFonts w:hint="eastAsia" w:ascii="宋体" w:hAnsi="宋体"/>
        </w:rPr>
        <w:t xml:space="preserve">在本理财计划存续期内，如有权机关要求管理人配合对投资者理财份额、理财账户、授权指定账户进行查封、冻结或扣划的，管理人有权根据实际情况采取如下措施，包括但不限于全额或部分终止理财交易、停止向投资者支付投资本金及投资收益。由于提前终止交易而产生的一切损失及费用将由投资者承担，管理人有权将此损失及费用从投资者的授权指定账户、理财本金及收益中扣除。管理人对上述后果不承担任何责任。 </w:t>
      </w:r>
    </w:p>
    <w:p>
      <w:pPr>
        <w:widowControl/>
        <w:numPr>
          <w:ilvl w:val="0"/>
          <w:numId w:val="27"/>
        </w:numPr>
        <w:spacing w:line="360" w:lineRule="auto"/>
        <w:contextualSpacing/>
        <w:rPr>
          <w:rFonts w:ascii="宋体" w:hAnsi="宋体"/>
        </w:rPr>
      </w:pPr>
      <w:r>
        <w:rPr>
          <w:rFonts w:hint="eastAsia" w:ascii="宋体" w:hAnsi="宋体"/>
        </w:rPr>
        <w:t>本协议终止前，投资者不得将授权指定账户销户。若发生因投资者注销授权指定账户造成理财计划无法正常兑付的，管理人不承担任何责任。</w:t>
      </w:r>
    </w:p>
    <w:p>
      <w:pPr>
        <w:widowControl/>
        <w:numPr>
          <w:ilvl w:val="0"/>
          <w:numId w:val="27"/>
        </w:numPr>
        <w:spacing w:line="360" w:lineRule="auto"/>
        <w:contextualSpacing/>
        <w:rPr>
          <w:rFonts w:ascii="宋体" w:hAnsi="宋体"/>
        </w:rPr>
      </w:pPr>
      <w:r>
        <w:rPr>
          <w:rFonts w:hint="eastAsia" w:ascii="宋体" w:hAnsi="宋体"/>
        </w:rPr>
        <w:t xml:space="preserve">投资者应确保其提供的所有资料真实、完整、合法、有效，如果有任何变更，投资者应及时通知管理人并办理变更手续。如因投资者未及时通知管理人并办理相应的变更手续，由此导致的一切后果由投资者自行承担，管理人对此不承担任何责任。 </w:t>
      </w:r>
    </w:p>
    <w:p>
      <w:pPr>
        <w:widowControl/>
        <w:numPr>
          <w:ilvl w:val="0"/>
          <w:numId w:val="27"/>
        </w:numPr>
        <w:spacing w:line="360" w:lineRule="auto"/>
        <w:contextualSpacing/>
        <w:rPr>
          <w:rFonts w:ascii="宋体" w:hAnsi="宋体"/>
        </w:rPr>
      </w:pPr>
      <w:r>
        <w:rPr>
          <w:rFonts w:hint="eastAsia" w:ascii="宋体" w:hAnsi="宋体"/>
        </w:rPr>
        <w:t xml:space="preserve">投资者进行投资时，应严格遵守反洗钱相关法规的规定，切实履行反洗钱及反恐怖融资义务。 </w:t>
      </w:r>
    </w:p>
    <w:p>
      <w:pPr>
        <w:spacing w:line="360" w:lineRule="auto"/>
        <w:ind w:left="482"/>
        <w:rPr>
          <w:rFonts w:ascii="Times New Roman" w:hAnsi="Times New Roman"/>
          <w:b/>
          <w:bCs/>
        </w:rPr>
      </w:pPr>
    </w:p>
    <w:p>
      <w:pPr>
        <w:numPr>
          <w:ilvl w:val="0"/>
          <w:numId w:val="26"/>
        </w:numPr>
        <w:spacing w:line="360" w:lineRule="auto"/>
        <w:ind w:firstLine="422" w:firstLineChars="200"/>
        <w:rPr>
          <w:rFonts w:ascii="宋体" w:hAnsi="宋体"/>
          <w:b/>
          <w:bCs/>
        </w:rPr>
      </w:pPr>
      <w:r>
        <w:rPr>
          <w:rFonts w:hint="eastAsia" w:ascii="宋体" w:hAnsi="宋体"/>
          <w:b/>
          <w:bCs/>
        </w:rPr>
        <w:t>管理人权利与义务</w:t>
      </w:r>
    </w:p>
    <w:p>
      <w:pPr>
        <w:widowControl/>
        <w:numPr>
          <w:ilvl w:val="0"/>
          <w:numId w:val="28"/>
        </w:numPr>
        <w:spacing w:line="360" w:lineRule="auto"/>
        <w:contextualSpacing/>
        <w:rPr>
          <w:rFonts w:ascii="宋体" w:hAnsi="宋体"/>
        </w:rPr>
      </w:pPr>
      <w:r>
        <w:rPr>
          <w:rFonts w:hint="eastAsia" w:ascii="宋体" w:hAnsi="宋体"/>
        </w:rPr>
        <w:t xml:space="preserve">管理人应当诚实守信、勤勉尽责地履行受人之托、代人理财职责。 </w:t>
      </w:r>
    </w:p>
    <w:p>
      <w:pPr>
        <w:widowControl/>
        <w:numPr>
          <w:ilvl w:val="0"/>
          <w:numId w:val="28"/>
        </w:numPr>
        <w:spacing w:line="360" w:lineRule="auto"/>
        <w:contextualSpacing/>
        <w:rPr>
          <w:rFonts w:ascii="宋体" w:hAnsi="宋体"/>
        </w:rPr>
      </w:pPr>
      <w:r>
        <w:rPr>
          <w:rFonts w:hint="eastAsia" w:ascii="宋体" w:hAnsi="宋体"/>
        </w:rPr>
        <w:t xml:space="preserve">管理人应当按照理财计划销售文件的约定收取管理费用、确定收益分配方案、向投资者分配收益。 </w:t>
      </w:r>
    </w:p>
    <w:p>
      <w:pPr>
        <w:widowControl/>
        <w:numPr>
          <w:ilvl w:val="0"/>
          <w:numId w:val="28"/>
        </w:numPr>
        <w:spacing w:line="360" w:lineRule="auto"/>
        <w:contextualSpacing/>
        <w:rPr>
          <w:rFonts w:ascii="宋体" w:hAnsi="宋体"/>
        </w:rPr>
      </w:pPr>
      <w:r>
        <w:rPr>
          <w:rFonts w:hint="eastAsia" w:ascii="宋体" w:hAnsi="宋体"/>
        </w:rPr>
        <w:t xml:space="preserve">管理人应当按照理财计划销售文件的约定履行风险揭示及信息披露义务。 </w:t>
      </w:r>
    </w:p>
    <w:p>
      <w:pPr>
        <w:widowControl/>
        <w:numPr>
          <w:ilvl w:val="0"/>
          <w:numId w:val="28"/>
        </w:numPr>
        <w:spacing w:line="360" w:lineRule="auto"/>
        <w:contextualSpacing/>
        <w:rPr>
          <w:rFonts w:ascii="宋体" w:hAnsi="宋体"/>
        </w:rPr>
      </w:pPr>
      <w:r>
        <w:rPr>
          <w:rFonts w:hint="eastAsia" w:ascii="宋体" w:hAnsi="宋体"/>
        </w:rPr>
        <w:t xml:space="preserve">管理人应当确保理财业务与其他业务相分离，理财计划之间相分离，理财业务操作与其他业务操作相分离。 </w:t>
      </w:r>
    </w:p>
    <w:p>
      <w:pPr>
        <w:widowControl/>
        <w:numPr>
          <w:ilvl w:val="0"/>
          <w:numId w:val="28"/>
        </w:numPr>
        <w:spacing w:line="360" w:lineRule="auto"/>
        <w:contextualSpacing/>
        <w:rPr>
          <w:rFonts w:ascii="宋体" w:hAnsi="宋体"/>
        </w:rPr>
      </w:pPr>
      <w:r>
        <w:rPr>
          <w:rFonts w:hint="eastAsia" w:ascii="宋体" w:hAnsi="宋体"/>
        </w:rPr>
        <w:t>管理人不得将理财计划财产归入其自有资产，因依法解散、被依法撤销或者被依法宣告破产等原因进行清算的，理财计划财产不属于其清算财产。</w:t>
      </w:r>
    </w:p>
    <w:p>
      <w:pPr>
        <w:widowControl/>
        <w:numPr>
          <w:ilvl w:val="0"/>
          <w:numId w:val="28"/>
        </w:numPr>
        <w:spacing w:line="360" w:lineRule="auto"/>
        <w:contextualSpacing/>
        <w:rPr>
          <w:rFonts w:ascii="宋体" w:hAnsi="宋体"/>
        </w:rPr>
      </w:pPr>
      <w:r>
        <w:rPr>
          <w:rFonts w:hint="eastAsia" w:ascii="宋体" w:hAnsi="宋体"/>
        </w:rPr>
        <w:t xml:space="preserve">管理人应当选择具有证券投资基金托管业务资格的金融机构、银行业理财登记托管机构或者国务院银行业监督管理机构认可的其他机构托管理财计划。 </w:t>
      </w:r>
    </w:p>
    <w:p>
      <w:pPr>
        <w:widowControl/>
        <w:numPr>
          <w:ilvl w:val="0"/>
          <w:numId w:val="28"/>
        </w:numPr>
        <w:spacing w:line="360" w:lineRule="auto"/>
        <w:contextualSpacing/>
        <w:rPr>
          <w:rFonts w:ascii="宋体" w:hAnsi="宋体"/>
        </w:rPr>
      </w:pPr>
      <w:r>
        <w:rPr>
          <w:rFonts w:hint="eastAsia" w:ascii="宋体" w:hAnsi="宋体"/>
        </w:rPr>
        <w:t xml:space="preserve">管理人作为理财计划管理人，全权负责理财计划资金的运用和理财计划资产的管理，管理人有权并代表投资者利益，按照法律法规和监管部门相关规定对理财计划投资产生的风险资产进行多种方式的处置，包括但不限于转让、重组、债转股、资产证券化、催收、抵债资产收取与处置、破产重整等。 </w:t>
      </w:r>
    </w:p>
    <w:p>
      <w:pPr>
        <w:widowControl/>
        <w:numPr>
          <w:ilvl w:val="0"/>
          <w:numId w:val="28"/>
        </w:numPr>
        <w:spacing w:line="360" w:lineRule="auto"/>
        <w:contextualSpacing/>
        <w:rPr>
          <w:rFonts w:ascii="宋体" w:hAnsi="宋体"/>
        </w:rPr>
      </w:pPr>
      <w:r>
        <w:rPr>
          <w:rFonts w:hint="eastAsia" w:ascii="宋体" w:hAnsi="宋体"/>
        </w:rPr>
        <w:t xml:space="preserve">管理人有权按照法律法规和监管要求，报送投资者身份信息及其持有理财计划信息；在管理人办理与理财计划相关事项所需的情况下，投资者同意并授权管理人向管理人集团成员、服务机构及其他管理人认为必要的业务合作机构提供管理人获取的投资者信息。管理人应向上述被披露方明确其保护投资者信息的职责并要求其承担相应保密义务。 </w:t>
      </w:r>
    </w:p>
    <w:p>
      <w:pPr>
        <w:widowControl/>
        <w:numPr>
          <w:ilvl w:val="0"/>
          <w:numId w:val="28"/>
        </w:numPr>
        <w:spacing w:line="360" w:lineRule="auto"/>
        <w:contextualSpacing/>
        <w:rPr>
          <w:rFonts w:ascii="宋体" w:hAnsi="宋体"/>
        </w:rPr>
      </w:pPr>
      <w:r>
        <w:rPr>
          <w:rFonts w:hint="eastAsia" w:ascii="宋体" w:hAnsi="宋体"/>
        </w:rPr>
        <w:t xml:space="preserve">管理人在此特别披露：若理财计划管理人的关联方担任理财计划的代销机构、托管人、合作机构的，理财计划管理人将按照法律法规和监管要求履行相应程序，投资者认购或申购理财计划即视为同意该等安排。 </w:t>
      </w:r>
    </w:p>
    <w:p>
      <w:pPr>
        <w:spacing w:line="360" w:lineRule="auto"/>
        <w:rPr>
          <w:rFonts w:ascii="Times New Roman" w:hAnsi="Times New Roman"/>
          <w:b/>
          <w:bCs/>
        </w:rPr>
      </w:pPr>
    </w:p>
    <w:p>
      <w:pPr>
        <w:numPr>
          <w:ilvl w:val="0"/>
          <w:numId w:val="26"/>
        </w:numPr>
        <w:spacing w:line="360" w:lineRule="auto"/>
        <w:ind w:firstLine="422" w:firstLineChars="200"/>
        <w:rPr>
          <w:rFonts w:ascii="宋体" w:hAnsi="宋体"/>
          <w:b/>
          <w:bCs/>
        </w:rPr>
      </w:pPr>
      <w:r>
        <w:rPr>
          <w:rFonts w:hint="eastAsia" w:ascii="宋体" w:hAnsi="宋体"/>
          <w:b/>
          <w:bCs/>
        </w:rPr>
        <w:t>理财计划认（申）购、赎回及终止</w:t>
      </w:r>
    </w:p>
    <w:p>
      <w:pPr>
        <w:widowControl/>
        <w:numPr>
          <w:ilvl w:val="0"/>
          <w:numId w:val="29"/>
        </w:numPr>
        <w:spacing w:line="360" w:lineRule="auto"/>
        <w:contextualSpacing/>
        <w:rPr>
          <w:rFonts w:ascii="宋体" w:hAnsi="宋体"/>
        </w:rPr>
      </w:pPr>
      <w:r>
        <w:rPr>
          <w:rFonts w:hint="eastAsia" w:ascii="宋体" w:hAnsi="宋体"/>
        </w:rPr>
        <w:t xml:space="preserve">理财计划认/申购办理流程：参照《投资者权益须知》约定。 </w:t>
      </w:r>
    </w:p>
    <w:p>
      <w:pPr>
        <w:widowControl/>
        <w:numPr>
          <w:ilvl w:val="0"/>
          <w:numId w:val="29"/>
        </w:numPr>
        <w:spacing w:line="360" w:lineRule="auto"/>
        <w:contextualSpacing/>
        <w:rPr>
          <w:rFonts w:ascii="宋体" w:hAnsi="宋体"/>
        </w:rPr>
      </w:pPr>
      <w:r>
        <w:rPr>
          <w:rFonts w:hint="eastAsia" w:ascii="宋体" w:hAnsi="宋体"/>
        </w:rPr>
        <w:t>理财计划认/申购确认：通过杭银理财直销渠道认/申购理财计划的，投资者须指定账户用于认/申购交易和赎回资金清算，投资者购买及扣划时应确保足额资金；如投资者通过代销渠道认/申购理财计划的，管理人仅根据代销渠道提供的交易信息及资金划付对投资者相应认/申购进行确认。</w:t>
      </w:r>
    </w:p>
    <w:p>
      <w:pPr>
        <w:widowControl/>
        <w:numPr>
          <w:ilvl w:val="0"/>
          <w:numId w:val="29"/>
        </w:numPr>
        <w:spacing w:line="360" w:lineRule="auto"/>
        <w:contextualSpacing/>
        <w:rPr>
          <w:rFonts w:ascii="宋体" w:hAnsi="宋体"/>
        </w:rPr>
      </w:pPr>
      <w:r>
        <w:rPr>
          <w:rFonts w:hint="eastAsia" w:ascii="宋体" w:hAnsi="宋体"/>
        </w:rPr>
        <w:t xml:space="preserve">理财计划不成立：若在募集期结束日，本理财计划发行规模未能达到对应期次的《理财计划产品说明书》规定的要求，则本理财计划不成立，管理人将按对应期次的《理财计划产品说明书》约定条款向投资者进行公告，并将及时解除对投资者授权指定账户中认购资金的冻结。 </w:t>
      </w:r>
    </w:p>
    <w:p>
      <w:pPr>
        <w:widowControl/>
        <w:numPr>
          <w:ilvl w:val="0"/>
          <w:numId w:val="29"/>
        </w:numPr>
        <w:spacing w:line="360" w:lineRule="auto"/>
        <w:contextualSpacing/>
        <w:rPr>
          <w:rFonts w:ascii="宋体" w:hAnsi="宋体"/>
        </w:rPr>
      </w:pPr>
      <w:r>
        <w:rPr>
          <w:rFonts w:hint="eastAsia" w:ascii="宋体" w:hAnsi="宋体"/>
        </w:rPr>
        <w:t xml:space="preserve">理财计划投资品种、投资起点金额、收益支付方式：参照对应期次的《理财计划产品说明书》中的条款约定。 </w:t>
      </w:r>
    </w:p>
    <w:p>
      <w:pPr>
        <w:widowControl/>
        <w:numPr>
          <w:ilvl w:val="0"/>
          <w:numId w:val="29"/>
        </w:numPr>
        <w:spacing w:line="360" w:lineRule="auto"/>
        <w:contextualSpacing/>
        <w:rPr>
          <w:rFonts w:ascii="宋体" w:hAnsi="宋体"/>
        </w:rPr>
      </w:pPr>
      <w:r>
        <w:rPr>
          <w:rFonts w:hint="eastAsia" w:ascii="宋体" w:hAnsi="宋体"/>
        </w:rPr>
        <w:t>理财计划赎回/终止兑付：在正常情况下，管理人和代销机构将按照对应期次的《理财计划产品说明书》相关约定，将兑付款项划入投资者授权杭银理财理财计划销售文件指定账户。如出现不可抗力、市场停市或管制等异常事件、交易对手违约或其他非管理人主导、仅能被动接受的外部事件或客观情形，导致理财计划无法按约定日清算时，或根据产品说明书约定管理人对理财计划进行延期或转换时，管理人将于原约定清算日前通过信息披露途径及时通知，并根据实际情况进行后续处理。</w:t>
      </w:r>
    </w:p>
    <w:p>
      <w:pPr>
        <w:widowControl/>
        <w:numPr>
          <w:ilvl w:val="0"/>
          <w:numId w:val="29"/>
        </w:numPr>
        <w:spacing w:line="360" w:lineRule="auto"/>
        <w:contextualSpacing/>
        <w:rPr>
          <w:rFonts w:ascii="宋体" w:hAnsi="宋体"/>
        </w:rPr>
      </w:pPr>
      <w:r>
        <w:rPr>
          <w:rFonts w:hint="eastAsia" w:ascii="宋体" w:hAnsi="宋体"/>
        </w:rPr>
        <w:t>资金清算：通过管理人直销渠道认申购理财份额的，理财计划终止或份额赎回时，清算资金将直接划入投资者指定账户；通过代销渠道认申购理财份额的，理财计划终止或份额赎回时，管理人按理财计划合同约定划付至代销机构清算账户后，由代销机构向投资者划付投资者应得资金。如因投资者清算账户余额不足，或代销机构未及时足额划付资金，或代销机构清算账户内资金被依法冻结或扣划，或代销机构清算账户处于被挂失、冻结、注销或其他非正常状态等原因而导致交易失败。对于因上述原因导致的交易失败可能带来的任何损失及预期损失，投资者须自行承担或向代销机构依法主张。</w:t>
      </w:r>
    </w:p>
    <w:p>
      <w:pPr>
        <w:spacing w:line="360" w:lineRule="auto"/>
        <w:ind w:left="482"/>
        <w:rPr>
          <w:rFonts w:ascii="Times New Roman" w:hAnsi="Times New Roman"/>
          <w:b/>
          <w:bCs/>
        </w:rPr>
      </w:pPr>
    </w:p>
    <w:p>
      <w:pPr>
        <w:numPr>
          <w:ilvl w:val="0"/>
          <w:numId w:val="26"/>
        </w:numPr>
        <w:spacing w:line="360" w:lineRule="auto"/>
        <w:ind w:firstLine="422" w:firstLineChars="200"/>
        <w:rPr>
          <w:rFonts w:ascii="宋体" w:hAnsi="宋体"/>
          <w:b/>
          <w:bCs/>
        </w:rPr>
      </w:pPr>
      <w:r>
        <w:rPr>
          <w:rFonts w:hint="eastAsia" w:ascii="宋体" w:hAnsi="宋体"/>
          <w:b/>
          <w:bCs/>
        </w:rPr>
        <w:t>税收处理</w:t>
      </w:r>
    </w:p>
    <w:p>
      <w:pPr>
        <w:widowControl/>
        <w:spacing w:line="360" w:lineRule="auto"/>
        <w:ind w:firstLine="420" w:firstLineChars="200"/>
        <w:contextualSpacing/>
        <w:rPr>
          <w:rFonts w:ascii="宋体" w:hAnsi="宋体"/>
        </w:rPr>
      </w:pPr>
      <w:r>
        <w:rPr>
          <w:rFonts w:hint="eastAsia" w:ascii="宋体" w:hAnsi="宋体"/>
        </w:rPr>
        <w:t>根据税收相关法律、法规及政策规定，理财计划运营过程中发生的增值税应税行为，以管理人为纳税人；理财计划运营过程中产生的应缴增值税及附加税费由理财计划财产承担。投资者因投资理财计划获得收益的应纳税款由投资者自行申报缴纳。</w:t>
      </w:r>
    </w:p>
    <w:p>
      <w:pPr>
        <w:widowControl/>
        <w:spacing w:line="360" w:lineRule="auto"/>
        <w:ind w:firstLine="420" w:firstLineChars="200"/>
        <w:contextualSpacing/>
        <w:rPr>
          <w:rFonts w:ascii="宋体" w:hAnsi="宋体"/>
        </w:rPr>
      </w:pPr>
    </w:p>
    <w:p>
      <w:pPr>
        <w:numPr>
          <w:ilvl w:val="0"/>
          <w:numId w:val="26"/>
        </w:numPr>
        <w:spacing w:line="360" w:lineRule="auto"/>
        <w:ind w:firstLine="422" w:firstLineChars="200"/>
        <w:rPr>
          <w:rFonts w:ascii="宋体" w:hAnsi="宋体"/>
          <w:b/>
          <w:bCs/>
        </w:rPr>
      </w:pPr>
      <w:r>
        <w:rPr>
          <w:rFonts w:hint="eastAsia" w:ascii="宋体" w:hAnsi="宋体"/>
          <w:b/>
          <w:bCs/>
        </w:rPr>
        <w:t>违约责任及免责条款</w:t>
      </w:r>
    </w:p>
    <w:p>
      <w:pPr>
        <w:widowControl/>
        <w:numPr>
          <w:ilvl w:val="0"/>
          <w:numId w:val="30"/>
        </w:numPr>
        <w:spacing w:line="360" w:lineRule="auto"/>
        <w:contextualSpacing/>
        <w:rPr>
          <w:rFonts w:ascii="宋体" w:hAnsi="宋体"/>
        </w:rPr>
      </w:pPr>
      <w:r>
        <w:rPr>
          <w:rFonts w:hint="eastAsia" w:ascii="宋体" w:hAnsi="宋体"/>
        </w:rPr>
        <w:t>若因投资人原因导致司法或行政机构采取强制措施对其理财本金、收益进行部分或全部被扣划，均视投资者本人就全部理财本金违约进行了提前支取，本合同自动终止。因提前终止而产生的损失及相关费用由投资者承担。本合同前述情况终止的，理财本金不计付支取日前的理财收益，也不计付存款利息。</w:t>
      </w:r>
    </w:p>
    <w:p>
      <w:pPr>
        <w:widowControl/>
        <w:numPr>
          <w:ilvl w:val="0"/>
          <w:numId w:val="30"/>
        </w:numPr>
        <w:spacing w:line="360" w:lineRule="auto"/>
        <w:contextualSpacing/>
        <w:rPr>
          <w:rFonts w:ascii="宋体" w:hAnsi="宋体"/>
        </w:rPr>
      </w:pPr>
      <w:r>
        <w:rPr>
          <w:rFonts w:hint="eastAsia" w:ascii="宋体" w:hAnsi="宋体"/>
        </w:rPr>
        <w:t>投资者违反本协议第二条内容，应承担相应违约责任。管理人对由此导致的理财业务交易延误、中断、终止及投资人损失不承担任何责任，并有权单方终止双方理财业务关系。因投资人违反双方约定解除本协议给管理人或全体投资者造成损失的，投资人应承担相应的赔偿责任。</w:t>
      </w:r>
    </w:p>
    <w:p>
      <w:pPr>
        <w:widowControl/>
        <w:numPr>
          <w:ilvl w:val="0"/>
          <w:numId w:val="30"/>
        </w:numPr>
        <w:spacing w:line="360" w:lineRule="auto"/>
        <w:contextualSpacing/>
        <w:rPr>
          <w:rFonts w:ascii="宋体" w:hAnsi="宋体"/>
        </w:rPr>
      </w:pPr>
      <w:r>
        <w:rPr>
          <w:rFonts w:hint="eastAsia" w:ascii="宋体" w:hAnsi="宋体"/>
        </w:rPr>
        <w:t>若由于管理人过错导致理财计划资产发生损失，管理人应按其过错承担赔偿责任，管理人赔偿的款项计入本理财计划的资产和收益，由所有投资者按理财本金比例分配。</w:t>
      </w:r>
    </w:p>
    <w:p>
      <w:pPr>
        <w:widowControl/>
        <w:numPr>
          <w:ilvl w:val="0"/>
          <w:numId w:val="30"/>
        </w:numPr>
        <w:spacing w:line="360" w:lineRule="auto"/>
        <w:contextualSpacing/>
        <w:rPr>
          <w:rFonts w:ascii="宋体" w:hAnsi="宋体"/>
        </w:rPr>
      </w:pPr>
      <w:r>
        <w:rPr>
          <w:rFonts w:hint="eastAsia" w:ascii="宋体" w:hAnsi="宋体"/>
        </w:rPr>
        <w:t>由于地震、火灾、战争等不可抗力或突发重大卫生公共事件等不可预测事件造成的交易中断、延误等风险及损失，管理人不承担责任；但管理人应在上述情况发生时在条件允许时及时通知投资人并采取一切必要且可能的措施阻止损失扩大。</w:t>
      </w:r>
    </w:p>
    <w:p>
      <w:pPr>
        <w:widowControl/>
        <w:numPr>
          <w:ilvl w:val="0"/>
          <w:numId w:val="30"/>
        </w:numPr>
        <w:spacing w:line="360" w:lineRule="auto"/>
        <w:contextualSpacing/>
        <w:rPr>
          <w:rFonts w:ascii="宋体" w:hAnsi="宋体"/>
        </w:rPr>
      </w:pPr>
      <w:r>
        <w:rPr>
          <w:rFonts w:hint="eastAsia" w:ascii="宋体" w:hAnsi="宋体"/>
        </w:rPr>
        <w:t>因国家有关法律、法规、规章、政策的修改或新的法律、法规、规章、政策颁布以及紧急措施的出台导致的风险及损失，管理人不承担责任。</w:t>
      </w:r>
    </w:p>
    <w:p>
      <w:pPr>
        <w:widowControl/>
        <w:numPr>
          <w:ilvl w:val="0"/>
          <w:numId w:val="30"/>
        </w:numPr>
        <w:spacing w:line="360" w:lineRule="auto"/>
        <w:contextualSpacing/>
        <w:rPr>
          <w:rFonts w:ascii="宋体" w:hAnsi="宋体"/>
        </w:rPr>
      </w:pPr>
      <w:r>
        <w:rPr>
          <w:rFonts w:hint="eastAsia" w:ascii="宋体" w:hAnsi="宋体"/>
        </w:rPr>
        <w:t>管理人若严格按照产品说明书相关规定进行投资运作，给投资者造成损失的，应免除管理人责任。</w:t>
      </w:r>
    </w:p>
    <w:p>
      <w:pPr>
        <w:widowControl/>
        <w:spacing w:line="360" w:lineRule="auto"/>
        <w:contextualSpacing/>
        <w:rPr>
          <w:rFonts w:ascii="宋体" w:hAnsi="宋体"/>
        </w:rPr>
      </w:pPr>
    </w:p>
    <w:p>
      <w:pPr>
        <w:numPr>
          <w:ilvl w:val="0"/>
          <w:numId w:val="26"/>
        </w:numPr>
        <w:spacing w:line="360" w:lineRule="auto"/>
        <w:ind w:firstLine="422" w:firstLineChars="200"/>
        <w:rPr>
          <w:rFonts w:ascii="Times New Roman" w:hAnsi="Times New Roman"/>
          <w:b/>
          <w:bCs/>
        </w:rPr>
      </w:pPr>
      <w:r>
        <w:rPr>
          <w:rFonts w:hint="eastAsia" w:ascii="宋体" w:hAnsi="宋体"/>
          <w:b/>
          <w:bCs/>
        </w:rPr>
        <w:t>适用法律与争议解决</w:t>
      </w:r>
    </w:p>
    <w:p>
      <w:pPr>
        <w:widowControl/>
        <w:spacing w:line="360" w:lineRule="auto"/>
        <w:ind w:firstLine="420" w:firstLineChars="200"/>
        <w:contextualSpacing/>
        <w:rPr>
          <w:rFonts w:ascii="宋体" w:hAnsi="宋体"/>
        </w:rPr>
      </w:pPr>
      <w:r>
        <w:rPr>
          <w:rFonts w:hint="eastAsia" w:ascii="宋体" w:hAnsi="宋体"/>
        </w:rPr>
        <w:t>本合同适用</w:t>
      </w:r>
      <w:r>
        <w:rPr>
          <w:rFonts w:hint="eastAsia" w:ascii="宋体" w:hAnsi="宋体"/>
          <w:color w:val="000000"/>
        </w:rPr>
        <w:t>中华人民共和国（仅为明确本合同适用法律规则，不含香港特别行政区、澳门特别行政区及中国台湾地区）</w:t>
      </w:r>
      <w:r>
        <w:rPr>
          <w:rFonts w:hint="eastAsia" w:ascii="宋体" w:hAnsi="宋体"/>
        </w:rPr>
        <w:t>的法律和行政法规。本合同项下的及与之有关的一切争议，投资者与管理人双方应首先协商解决，协商不成的，应提交管理人所在地人民法院司法裁决。诉讼期间，未涉及争议的条款仍需继续履行。</w:t>
      </w:r>
    </w:p>
    <w:p>
      <w:pPr>
        <w:spacing w:line="360" w:lineRule="auto"/>
        <w:ind w:left="482"/>
        <w:rPr>
          <w:rFonts w:ascii="Times New Roman" w:hAnsi="Times New Roman"/>
          <w:b/>
          <w:bCs/>
        </w:rPr>
      </w:pPr>
    </w:p>
    <w:p>
      <w:pPr>
        <w:numPr>
          <w:ilvl w:val="0"/>
          <w:numId w:val="26"/>
        </w:numPr>
        <w:spacing w:line="360" w:lineRule="auto"/>
        <w:ind w:firstLine="422" w:firstLineChars="200"/>
        <w:rPr>
          <w:rFonts w:ascii="宋体" w:hAnsi="宋体"/>
          <w:b/>
          <w:bCs/>
        </w:rPr>
      </w:pPr>
      <w:r>
        <w:rPr>
          <w:rFonts w:hint="eastAsia" w:ascii="宋体" w:hAnsi="宋体"/>
          <w:b/>
          <w:bCs/>
        </w:rPr>
        <w:t>协议生效和终止</w:t>
      </w:r>
    </w:p>
    <w:p>
      <w:pPr>
        <w:widowControl/>
        <w:numPr>
          <w:ilvl w:val="0"/>
          <w:numId w:val="31"/>
        </w:numPr>
        <w:spacing w:line="360" w:lineRule="auto"/>
        <w:contextualSpacing/>
        <w:rPr>
          <w:rFonts w:ascii="宋体" w:hAnsi="宋体"/>
        </w:rPr>
      </w:pPr>
      <w:r>
        <w:rPr>
          <w:rFonts w:hint="eastAsia" w:ascii="宋体" w:hAnsi="宋体"/>
        </w:rPr>
        <w:t xml:space="preserve">投资者和管理人双方认可本协议可以纸质或电子数据等形式提交、订立或确认。 </w:t>
      </w:r>
    </w:p>
    <w:p>
      <w:pPr>
        <w:widowControl/>
        <w:numPr>
          <w:ilvl w:val="0"/>
          <w:numId w:val="31"/>
        </w:numPr>
        <w:spacing w:line="360" w:lineRule="auto"/>
        <w:contextualSpacing/>
        <w:rPr>
          <w:rFonts w:ascii="宋体" w:hAnsi="宋体"/>
        </w:rPr>
      </w:pPr>
      <w:r>
        <w:rPr>
          <w:rFonts w:hint="eastAsia" w:ascii="宋体" w:hAnsi="宋体"/>
        </w:rPr>
        <w:t xml:space="preserve">本协议书以纸质书面形式订立的，自投资者签字和销售机构代表管理人签署盖章之后立即生效。协议一式贰份，投资者和管理人双方各执壹份，具有同等法律效力。 </w:t>
      </w:r>
    </w:p>
    <w:p>
      <w:pPr>
        <w:widowControl/>
        <w:numPr>
          <w:ilvl w:val="0"/>
          <w:numId w:val="31"/>
        </w:numPr>
        <w:spacing w:line="360" w:lineRule="auto"/>
        <w:contextualSpacing/>
        <w:rPr>
          <w:rFonts w:ascii="宋体" w:hAnsi="宋体"/>
        </w:rPr>
      </w:pPr>
      <w:r>
        <w:rPr>
          <w:rFonts w:hint="eastAsia" w:ascii="宋体" w:hAnsi="宋体"/>
        </w:rPr>
        <w:t>本协议书以数据电文形式订立的，投资者在销售机构的电子银行（包括但不限于网上银行、手机银行或监管机构认可的其他销售渠道）点击购买理财计划，投资者使用的身份认证要素或其他安全措施完成的一切交易视为投资者本人所为，同时表示投资者已阅读本协议所有条款，并对本协议条款的含义及相应的法律后果已全部知晓并充分理解，同意接受本协议约束。本协议自投资者点击确认且销售机构电子银行提示交易成功之时生效。交易成功仅指认/申购申请提交成功，认/申购是否成功以管理人另行提供的确认为准。</w:t>
      </w:r>
    </w:p>
    <w:p>
      <w:pPr>
        <w:widowControl/>
        <w:numPr>
          <w:ilvl w:val="0"/>
          <w:numId w:val="31"/>
        </w:numPr>
        <w:spacing w:line="360" w:lineRule="auto"/>
        <w:contextualSpacing/>
        <w:rPr>
          <w:rFonts w:ascii="宋体" w:hAnsi="宋体"/>
        </w:rPr>
      </w:pPr>
      <w:r>
        <w:rPr>
          <w:rFonts w:hint="eastAsia" w:ascii="宋体" w:hAnsi="宋体"/>
        </w:rPr>
        <w:t>投资者和管理人双方在本协议及对应期次的《理财计划产品说明书》项下权利义务履行完毕之日，本协议自动终止。</w:t>
      </w:r>
    </w:p>
    <w:p>
      <w:pPr>
        <w:widowControl/>
        <w:spacing w:line="360" w:lineRule="auto"/>
        <w:ind w:left="6"/>
        <w:contextualSpacing/>
        <w:rPr>
          <w:rFonts w:ascii="宋体" w:hAnsi="宋体"/>
        </w:rPr>
      </w:pPr>
    </w:p>
    <w:p>
      <w:pPr>
        <w:numPr>
          <w:ilvl w:val="0"/>
          <w:numId w:val="26"/>
        </w:numPr>
        <w:spacing w:line="360" w:lineRule="auto"/>
        <w:ind w:firstLine="422" w:firstLineChars="200"/>
        <w:rPr>
          <w:rFonts w:ascii="Times New Roman" w:hAnsi="Times New Roman"/>
          <w:b/>
          <w:bCs/>
        </w:rPr>
      </w:pPr>
      <w:r>
        <w:rPr>
          <w:rFonts w:hint="eastAsia" w:ascii="宋体" w:hAnsi="宋体"/>
          <w:b/>
          <w:bCs/>
        </w:rPr>
        <w:t>附则</w:t>
      </w:r>
    </w:p>
    <w:p>
      <w:pPr>
        <w:widowControl/>
        <w:numPr>
          <w:ilvl w:val="0"/>
          <w:numId w:val="32"/>
        </w:numPr>
        <w:spacing w:line="360" w:lineRule="auto"/>
        <w:contextualSpacing/>
        <w:rPr>
          <w:rFonts w:ascii="宋体" w:hAnsi="宋体"/>
        </w:rPr>
      </w:pPr>
      <w:r>
        <w:rPr>
          <w:rFonts w:hint="eastAsia" w:ascii="宋体" w:hAnsi="宋体"/>
        </w:rPr>
        <w:t>如果投资者与管理人之间存在多份理财计划协议书，则每一协议书分别与其所对应的产品说明书等销售文本单独构成一个理财计划交易合同，各个合同之间互相独立，每一合同的效力及履行情况均独立于其他合同。</w:t>
      </w:r>
    </w:p>
    <w:p>
      <w:pPr>
        <w:widowControl/>
        <w:numPr>
          <w:ilvl w:val="0"/>
          <w:numId w:val="32"/>
        </w:numPr>
        <w:spacing w:line="360" w:lineRule="auto"/>
        <w:contextualSpacing/>
        <w:rPr>
          <w:rFonts w:ascii="宋体" w:hAnsi="宋体"/>
        </w:rPr>
      </w:pPr>
      <w:r>
        <w:rPr>
          <w:rFonts w:hint="eastAsia" w:ascii="宋体" w:hAnsi="宋体"/>
        </w:rPr>
        <w:t>如果由于任何原因使本合同下的任何条款或内容成为无效或被依法撤销，本合同其他条款或内容的合法性、有效性和可执行性不受影响。</w:t>
      </w:r>
    </w:p>
    <w:p>
      <w:pPr>
        <w:widowControl/>
        <w:numPr>
          <w:ilvl w:val="0"/>
          <w:numId w:val="32"/>
        </w:numPr>
        <w:spacing w:line="360" w:lineRule="auto"/>
        <w:contextualSpacing/>
        <w:rPr>
          <w:rFonts w:ascii="宋体" w:hAnsi="宋体"/>
        </w:rPr>
      </w:pPr>
      <w:r>
        <w:rPr>
          <w:rFonts w:hint="eastAsia" w:ascii="宋体" w:hAnsi="宋体"/>
        </w:rPr>
        <w:t>在理财计划存续期内，如因监管政策或法律法规发生变化，在不损害投资者利益的前提下，管理人有权单方对理财计划合同进行修订。</w:t>
      </w:r>
    </w:p>
    <w:p>
      <w:pPr>
        <w:spacing w:line="360" w:lineRule="auto"/>
        <w:rPr>
          <w:rFonts w:ascii="宋体" w:hAnsi="宋体"/>
          <w:color w:val="000000"/>
        </w:rPr>
      </w:pPr>
    </w:p>
    <w:p>
      <w:pPr>
        <w:spacing w:line="360" w:lineRule="auto"/>
        <w:rPr>
          <w:rFonts w:ascii="宋体" w:hAnsi="宋体"/>
          <w:color w:val="000000"/>
        </w:rPr>
      </w:pPr>
    </w:p>
    <w:p>
      <w:pPr>
        <w:pStyle w:val="10"/>
        <w:widowControl/>
        <w:spacing w:line="360" w:lineRule="auto"/>
        <w:jc w:val="right"/>
        <w:rPr>
          <w:rFonts w:hint="eastAsia" w:ascii="宋体" w:hAnsi="Wingdings"/>
          <w:color w:val="000000"/>
          <w:kern w:val="0"/>
          <w:sz w:val="21"/>
          <w:szCs w:val="21"/>
        </w:rPr>
      </w:pPr>
      <w:r>
        <w:rPr>
          <w:rFonts w:hint="eastAsia" w:ascii="宋体" w:hAnsi="宋体"/>
          <w:kern w:val="0"/>
          <w:sz w:val="21"/>
          <w:szCs w:val="21"/>
        </w:rPr>
        <w:t>杭银理财有限责任公司</w:t>
      </w:r>
    </w:p>
    <w:p>
      <w:pPr>
        <w:rPr>
          <w:rFonts w:ascii="Times New Roman" w:hAnsi="Times New Roman"/>
        </w:rPr>
      </w:pPr>
    </w:p>
    <w:p>
      <w:pPr>
        <w:spacing w:line="520" w:lineRule="exact"/>
        <w:ind w:firstLine="424" w:firstLineChars="202"/>
        <w:rPr>
          <w:rFonts w:hint="eastAsia" w:ascii="宋体" w:hAnsi="Wingdings" w:cs="宋体"/>
          <w:color w:val="000000"/>
          <w:kern w:val="0"/>
        </w:rPr>
      </w:pPr>
    </w:p>
    <w:p>
      <w:pPr>
        <w:pStyle w:val="10"/>
        <w:widowControl/>
        <w:spacing w:line="360" w:lineRule="auto"/>
        <w:jc w:val="center"/>
        <w:rPr>
          <w:rFonts w:ascii="宋体" w:hAnsi="宋体" w:cs="宋体"/>
          <w:kern w:val="0"/>
          <w:sz w:val="21"/>
          <w:szCs w:val="21"/>
        </w:rPr>
      </w:pPr>
      <w:r>
        <w:rPr>
          <w:rFonts w:hint="eastAsia" w:ascii="宋体" w:hAnsi="宋体" w:cs="宋体"/>
          <w:b/>
          <w:sz w:val="32"/>
          <w:szCs w:val="32"/>
        </w:rPr>
        <w:t>杭银理财理财计划销售协议书</w:t>
      </w:r>
    </w:p>
    <w:p>
      <w:pPr>
        <w:jc w:val="center"/>
        <w:rPr>
          <w:rFonts w:ascii="宋体" w:hAnsi="宋体" w:cs="宋体"/>
        </w:rPr>
      </w:pPr>
      <w:r>
        <w:rPr>
          <w:rFonts w:hint="eastAsia" w:ascii="宋体" w:hAnsi="宋体" w:cs="宋体"/>
          <w:szCs w:val="21"/>
        </w:rPr>
        <w:t>（202101版）</w:t>
      </w:r>
    </w:p>
    <w:p>
      <w:pPr>
        <w:autoSpaceDE w:val="0"/>
        <w:spacing w:line="360" w:lineRule="auto"/>
        <w:jc w:val="center"/>
      </w:pPr>
    </w:p>
    <w:p>
      <w:pPr>
        <w:autoSpaceDE w:val="0"/>
        <w:spacing w:line="360" w:lineRule="auto"/>
        <w:ind w:firstLine="482" w:firstLineChars="200"/>
        <w:rPr>
          <w:rFonts w:ascii="宋体" w:hAnsi="宋体"/>
          <w:b/>
          <w:sz w:val="24"/>
        </w:rPr>
      </w:pPr>
      <w:r>
        <w:rPr>
          <w:rFonts w:hint="eastAsia" w:ascii="宋体" w:hAnsi="宋体"/>
          <w:b/>
          <w:sz w:val="24"/>
        </w:rPr>
        <w:t>特别提示：《杭银理财理财计划销售协议书（202101版）》与对应期次的理财计划投资协议书、投资者权益须知、风险揭示书及理财计划产品说明书共同构成完整且不可分割的理财计划合同。杭银理财有限责任公司（以下简称“杭银理财”）建议投资者在购买理财计划前认真阅读全套理财计划合同，投资者签署本协议书（含电子渠道签署）即视为已详细阅读理财计划合同并知悉相关风险，自愿投资购买理财计划、遵守合同约定并承担相应风险。</w:t>
      </w:r>
    </w:p>
    <w:p>
      <w:pPr>
        <w:autoSpaceDE w:val="0"/>
        <w:spacing w:line="360" w:lineRule="auto"/>
        <w:ind w:firstLine="482" w:firstLineChars="200"/>
        <w:rPr>
          <w:rFonts w:ascii="宋体" w:hAnsi="宋体"/>
          <w:b/>
          <w:sz w:val="24"/>
        </w:rPr>
      </w:pPr>
      <w:r>
        <w:rPr>
          <w:rFonts w:hint="eastAsia" w:ascii="宋体" w:hAnsi="宋体"/>
          <w:b/>
          <w:sz w:val="24"/>
        </w:rPr>
        <w:t>理财非存款、产品有风险、投资须谨慎，理财计划过往业绩不代表其未来表现，不等于理财计划实际收益。</w:t>
      </w:r>
    </w:p>
    <w:p>
      <w:pPr>
        <w:widowControl/>
        <w:autoSpaceDE w:val="0"/>
        <w:spacing w:line="360" w:lineRule="auto"/>
        <w:ind w:firstLine="480" w:firstLineChars="200"/>
        <w:rPr>
          <w:rFonts w:ascii="宋体" w:hAnsi="宋体"/>
          <w:sz w:val="24"/>
        </w:rPr>
      </w:pPr>
      <w:r>
        <w:rPr>
          <w:rFonts w:hint="eastAsia" w:ascii="宋体" w:hAnsi="宋体"/>
          <w:sz w:val="24"/>
        </w:rPr>
        <w:t>理财计划销售的相关法律主体为发行理财计划的理财公司、接受理财公司委托销售其发行理财计划的代理销售机构（以下简称“代理销售机构”）和投资者三方。理财公司是理财计划的设计发行方与管理人，代理销售机构面向投资者实施销售行为，两方共同承担理财计划的合规销售和投资者合法权益保护义务。</w:t>
      </w:r>
    </w:p>
    <w:p>
      <w:pPr>
        <w:widowControl/>
        <w:autoSpaceDE w:val="0"/>
        <w:spacing w:line="360" w:lineRule="auto"/>
        <w:ind w:firstLine="480" w:firstLineChars="200"/>
        <w:rPr>
          <w:rFonts w:ascii="宋体" w:hAnsi="宋体"/>
          <w:sz w:val="24"/>
        </w:rPr>
      </w:pPr>
      <w:r>
        <w:rPr>
          <w:rFonts w:hint="eastAsia" w:ascii="宋体" w:hAnsi="宋体"/>
          <w:sz w:val="24"/>
        </w:rPr>
        <w:t>投资者与代理销售机构经平等友好协商，本着自愿、诚实信用原则，就投资者购买代理销售机构代理销售的理财计划有关事宜达成如下协议（以下简称“本协议”）：</w:t>
      </w:r>
    </w:p>
    <w:p>
      <w:pPr>
        <w:widowControl/>
        <w:autoSpaceDE w:val="0"/>
        <w:spacing w:line="360" w:lineRule="auto"/>
        <w:ind w:firstLine="480" w:firstLineChars="200"/>
        <w:rPr>
          <w:rFonts w:ascii="宋体" w:hAnsi="宋体"/>
          <w:sz w:val="24"/>
        </w:rPr>
      </w:pPr>
    </w:p>
    <w:p>
      <w:pPr>
        <w:widowControl/>
        <w:numPr>
          <w:ilvl w:val="0"/>
          <w:numId w:val="33"/>
        </w:numPr>
        <w:autoSpaceDE w:val="0"/>
        <w:spacing w:line="360" w:lineRule="auto"/>
        <w:ind w:firstLine="482" w:firstLineChars="200"/>
        <w:rPr>
          <w:rFonts w:ascii="宋体" w:hAnsi="宋体"/>
          <w:b/>
          <w:sz w:val="24"/>
        </w:rPr>
      </w:pPr>
      <w:r>
        <w:rPr>
          <w:rFonts w:hint="eastAsia" w:ascii="宋体" w:hAnsi="宋体"/>
          <w:b/>
          <w:sz w:val="24"/>
        </w:rPr>
        <w:t>名词释义</w:t>
      </w:r>
    </w:p>
    <w:p>
      <w:pPr>
        <w:widowControl/>
        <w:autoSpaceDE w:val="0"/>
        <w:spacing w:line="360" w:lineRule="auto"/>
        <w:ind w:firstLine="480" w:firstLineChars="200"/>
        <w:jc w:val="left"/>
        <w:rPr>
          <w:rFonts w:ascii="宋体" w:hAnsi="宋体"/>
          <w:sz w:val="24"/>
        </w:rPr>
      </w:pPr>
      <w:r>
        <w:rPr>
          <w:rFonts w:hint="eastAsia" w:ascii="宋体" w:hAnsi="宋体"/>
          <w:sz w:val="24"/>
        </w:rPr>
        <w:t>详见对应期次的理财计划产品说明书“释义”部分。</w:t>
      </w:r>
    </w:p>
    <w:p>
      <w:pPr>
        <w:widowControl/>
        <w:autoSpaceDE w:val="0"/>
        <w:spacing w:line="360" w:lineRule="auto"/>
        <w:ind w:firstLine="480" w:firstLineChars="200"/>
        <w:jc w:val="left"/>
        <w:rPr>
          <w:rFonts w:ascii="宋体" w:hAnsi="宋体"/>
          <w:sz w:val="24"/>
        </w:rPr>
      </w:pPr>
    </w:p>
    <w:p>
      <w:pPr>
        <w:widowControl/>
        <w:numPr>
          <w:ilvl w:val="0"/>
          <w:numId w:val="33"/>
        </w:numPr>
        <w:autoSpaceDE w:val="0"/>
        <w:spacing w:line="360" w:lineRule="auto"/>
        <w:ind w:firstLine="482" w:firstLineChars="200"/>
        <w:rPr>
          <w:rFonts w:ascii="宋体" w:hAnsi="宋体"/>
          <w:b/>
          <w:sz w:val="24"/>
        </w:rPr>
      </w:pPr>
      <w:r>
        <w:rPr>
          <w:rFonts w:hint="eastAsia" w:ascii="宋体" w:hAnsi="宋体"/>
          <w:b/>
          <w:sz w:val="24"/>
        </w:rPr>
        <w:t>投资者权利与义务</w:t>
      </w:r>
    </w:p>
    <w:p>
      <w:pPr>
        <w:pStyle w:val="10"/>
        <w:widowControl/>
        <w:numPr>
          <w:ilvl w:val="0"/>
          <w:numId w:val="34"/>
        </w:numPr>
        <w:spacing w:line="360" w:lineRule="auto"/>
        <w:contextualSpacing/>
        <w:rPr>
          <w:rFonts w:ascii="宋体" w:hAnsi="宋体" w:cs="黑体"/>
          <w:szCs w:val="24"/>
        </w:rPr>
      </w:pPr>
      <w:r>
        <w:rPr>
          <w:rFonts w:hint="eastAsia" w:ascii="宋体" w:hAnsi="宋体" w:cs="黑体"/>
          <w:szCs w:val="24"/>
        </w:rPr>
        <w:t>投资者应当保证其理财资金为合法拥有的自有资金，不存在涉嫌洗钱、恶意逃避税收征收管理等违法违规行为。投资者不得使用贷款、发行债券等方式筹集的非自有资金购买理财计划。投资者将其自有资金用作本理财计划投资协议书条款项下理财交易并不违反相关法律、法规、规章、规定、</w:t>
      </w:r>
      <w:r>
        <w:rPr>
          <w:rFonts w:hint="eastAsia" w:ascii="宋体" w:hAnsi="宋体" w:cs="黑体"/>
          <w:color w:val="000000"/>
          <w:szCs w:val="24"/>
        </w:rPr>
        <w:t xml:space="preserve">法院裁定或命令的要求，投资者具有完全民事行为能力，能够自行识别、判断和承担理财计划的相关风险；不存在法律法规、有权机关或主管机关禁止或限制购买理财计划的各种情形。投资者按其投资金额在本理财计划投资协议书中享有相应的权利，承担相应的义务和风险。 </w:t>
      </w:r>
    </w:p>
    <w:p>
      <w:pPr>
        <w:pStyle w:val="10"/>
        <w:widowControl/>
        <w:numPr>
          <w:ilvl w:val="0"/>
          <w:numId w:val="34"/>
        </w:numPr>
        <w:spacing w:line="360" w:lineRule="auto"/>
        <w:contextualSpacing/>
        <w:rPr>
          <w:rFonts w:ascii="宋体" w:hAnsi="宋体" w:cs="黑体"/>
          <w:szCs w:val="24"/>
        </w:rPr>
      </w:pPr>
      <w:r>
        <w:rPr>
          <w:rFonts w:hint="eastAsia" w:ascii="宋体" w:hAnsi="宋体" w:cs="黑体"/>
          <w:szCs w:val="24"/>
        </w:rPr>
        <w:t>投资者保证自身完全了解理财投资的性质，投资所涉及的风险以及自身风险承受能力，在慎重考虑后独立作出交易决定。</w:t>
      </w:r>
    </w:p>
    <w:p>
      <w:pPr>
        <w:pStyle w:val="10"/>
        <w:widowControl/>
        <w:numPr>
          <w:ilvl w:val="0"/>
          <w:numId w:val="34"/>
        </w:numPr>
        <w:spacing w:line="360" w:lineRule="auto"/>
        <w:contextualSpacing/>
        <w:rPr>
          <w:rFonts w:ascii="宋体" w:hAnsi="宋体" w:cs="黑体"/>
          <w:szCs w:val="24"/>
        </w:rPr>
      </w:pPr>
      <w:r>
        <w:rPr>
          <w:rFonts w:hint="eastAsia" w:ascii="宋体" w:hAnsi="宋体" w:cs="黑体"/>
          <w:b/>
          <w:szCs w:val="24"/>
        </w:rPr>
        <w:t>投资者购买代理销售机构代理销售的私募理财计划后，可以享有24 小时的投资冷静期，在投资冷静期内，如投资者改变投资决定，应提出解除相应理财计划合同文件申请，代理销售机构将及时退还投资者的全部投资款项。</w:t>
      </w:r>
      <w:r>
        <w:rPr>
          <w:rFonts w:hint="eastAsia" w:ascii="宋体" w:hAnsi="宋体" w:cs="黑体"/>
          <w:szCs w:val="24"/>
        </w:rPr>
        <w:t>投资冷静期相关约定详见理财计划产品说明书。</w:t>
      </w:r>
    </w:p>
    <w:p>
      <w:pPr>
        <w:pStyle w:val="10"/>
        <w:widowControl/>
        <w:numPr>
          <w:ilvl w:val="0"/>
          <w:numId w:val="34"/>
        </w:numPr>
        <w:spacing w:line="360" w:lineRule="auto"/>
        <w:contextualSpacing/>
        <w:rPr>
          <w:rFonts w:ascii="宋体" w:hAnsi="宋体" w:cs="黑体"/>
          <w:szCs w:val="24"/>
        </w:rPr>
      </w:pPr>
      <w:r>
        <w:rPr>
          <w:rFonts w:hint="eastAsia" w:ascii="宋体" w:hAnsi="宋体" w:cs="黑体"/>
          <w:szCs w:val="24"/>
        </w:rPr>
        <w:t>投资者保证其有权利签署本协议和履行本协议所述的义务，并已为此采取一切所需的行为。</w:t>
      </w:r>
    </w:p>
    <w:p>
      <w:pPr>
        <w:pStyle w:val="10"/>
        <w:widowControl/>
        <w:numPr>
          <w:ilvl w:val="0"/>
          <w:numId w:val="34"/>
        </w:numPr>
        <w:spacing w:line="360" w:lineRule="auto"/>
        <w:contextualSpacing/>
        <w:rPr>
          <w:rFonts w:ascii="宋体" w:hAnsi="宋体" w:cs="黑体"/>
          <w:szCs w:val="24"/>
        </w:rPr>
      </w:pPr>
      <w:r>
        <w:rPr>
          <w:rFonts w:hint="eastAsia" w:ascii="宋体" w:hAnsi="宋体" w:cs="黑体"/>
          <w:szCs w:val="24"/>
        </w:rPr>
        <w:t>投资者保证执行及交付任何文件或履行本协议项下的义务，均不会违反任何适用法律、法规、法令或法律限制；不会违反任何法院或政府机关所作出的适用于投资者或投资者任何资产的判决或指令；不会违反对投资者或投资者任何资产有约束力的任何重大协议条款。投资者应在签署本协议的同时在其授权指定的账户中（以下简称“授权指定账户”）存入足额的资金以确保账户余额大于或等于认/申购金额。</w:t>
      </w:r>
    </w:p>
    <w:p>
      <w:pPr>
        <w:pStyle w:val="10"/>
        <w:widowControl/>
        <w:numPr>
          <w:ilvl w:val="0"/>
          <w:numId w:val="34"/>
        </w:numPr>
        <w:spacing w:line="360" w:lineRule="auto"/>
        <w:contextualSpacing/>
        <w:rPr>
          <w:rFonts w:ascii="宋体" w:hAnsi="宋体" w:cs="黑体"/>
          <w:szCs w:val="24"/>
        </w:rPr>
      </w:pPr>
      <w:r>
        <w:rPr>
          <w:rFonts w:hint="eastAsia" w:ascii="宋体" w:hAnsi="宋体" w:cs="黑体"/>
          <w:b/>
          <w:szCs w:val="24"/>
        </w:rPr>
        <w:t>投资者在此确认代理销售机构的系统记录以及录音、录像构成对投资者操作行为（包括但不限于购买、赎回、撤单）的有效证据，并且在双方发生争议时可以作为合法有效的证据使用</w:t>
      </w:r>
      <w:r>
        <w:rPr>
          <w:rFonts w:hint="eastAsia" w:ascii="宋体" w:hAnsi="宋体" w:cs="黑体"/>
          <w:szCs w:val="24"/>
        </w:rPr>
        <w:t>。</w:t>
      </w:r>
    </w:p>
    <w:p>
      <w:pPr>
        <w:pStyle w:val="10"/>
        <w:widowControl/>
        <w:numPr>
          <w:ilvl w:val="0"/>
          <w:numId w:val="34"/>
        </w:numPr>
        <w:spacing w:line="360" w:lineRule="auto"/>
        <w:contextualSpacing/>
        <w:rPr>
          <w:rFonts w:ascii="宋体" w:hAnsi="宋体" w:cs="黑体"/>
          <w:szCs w:val="24"/>
        </w:rPr>
      </w:pPr>
      <w:r>
        <w:rPr>
          <w:rFonts w:hint="eastAsia" w:ascii="宋体" w:hAnsi="宋体" w:cs="黑体"/>
          <w:szCs w:val="24"/>
        </w:rPr>
        <w:t xml:space="preserve">本协议终止前，投资者应保证其“授权指定账户”处于正常状态，投资者授权指定账户发生资金余额不足、挂失、换卡、长期不动户等特殊情况或被有权机关采取冻结、扣划、强制措施等变更或异常情形导致认/申购不成功，以及在本理财计划存续期内因有权机关依法采取强制措施导致理财份额、理财账户、授权指定账户被冻结或扣划的，代理销售机构对此不承担任何责任。 </w:t>
      </w:r>
    </w:p>
    <w:p>
      <w:pPr>
        <w:pStyle w:val="10"/>
        <w:widowControl/>
        <w:numPr>
          <w:ilvl w:val="0"/>
          <w:numId w:val="34"/>
        </w:numPr>
        <w:spacing w:line="360" w:lineRule="auto"/>
        <w:contextualSpacing/>
        <w:rPr>
          <w:rFonts w:ascii="宋体" w:hAnsi="宋体" w:cs="黑体"/>
          <w:szCs w:val="24"/>
        </w:rPr>
      </w:pPr>
      <w:r>
        <w:rPr>
          <w:rFonts w:hint="eastAsia" w:ascii="宋体" w:hAnsi="宋体" w:cs="黑体"/>
          <w:szCs w:val="24"/>
        </w:rPr>
        <w:t xml:space="preserve">在本理财计划存续期内，如有权机关要求代理销售机构配合对投资者理财份额、理财账户、授权指定账户进行查封、冻结或扣划的，代理销售机构有权根据实际情况采取相应措施。代理销售机构对上述后果不承担任何责任。 </w:t>
      </w:r>
    </w:p>
    <w:p>
      <w:pPr>
        <w:pStyle w:val="10"/>
        <w:widowControl/>
        <w:numPr>
          <w:ilvl w:val="0"/>
          <w:numId w:val="34"/>
        </w:numPr>
        <w:spacing w:line="360" w:lineRule="auto"/>
        <w:contextualSpacing/>
        <w:rPr>
          <w:rFonts w:ascii="宋体" w:hAnsi="宋体" w:cs="黑体"/>
          <w:szCs w:val="24"/>
        </w:rPr>
      </w:pPr>
      <w:r>
        <w:rPr>
          <w:rFonts w:hint="eastAsia" w:ascii="宋体" w:hAnsi="宋体" w:cs="黑体"/>
          <w:szCs w:val="24"/>
        </w:rPr>
        <w:t>本协议终止前，投资者不得将授权指定账户销户。若发生因投资者注销授权指定账户造成理财计划无法正常兑付的，代理销售机构不承担任何责任。</w:t>
      </w:r>
    </w:p>
    <w:p>
      <w:pPr>
        <w:pStyle w:val="10"/>
        <w:widowControl/>
        <w:numPr>
          <w:ilvl w:val="0"/>
          <w:numId w:val="34"/>
        </w:numPr>
        <w:spacing w:line="360" w:lineRule="auto"/>
        <w:contextualSpacing/>
        <w:rPr>
          <w:rFonts w:ascii="宋体" w:hAnsi="宋体" w:cs="黑体"/>
          <w:szCs w:val="24"/>
        </w:rPr>
      </w:pPr>
      <w:r>
        <w:rPr>
          <w:rFonts w:hint="eastAsia" w:ascii="宋体" w:hAnsi="宋体" w:cs="黑体"/>
          <w:szCs w:val="24"/>
        </w:rPr>
        <w:t xml:space="preserve">投资者应确保其提供的所有资料真实、完整、合法、有效，如果有任何变更，投资者应及时通知代理销售机构并办理变更手续。如因投资者未及时通知代理销售机构并办理相应的变更手续，由此导致的一切后果由投资者自行承担，代理销售机构对此不承担任何责任。 </w:t>
      </w:r>
    </w:p>
    <w:p>
      <w:pPr>
        <w:pStyle w:val="10"/>
        <w:widowControl/>
        <w:numPr>
          <w:ilvl w:val="0"/>
          <w:numId w:val="34"/>
        </w:numPr>
        <w:spacing w:line="360" w:lineRule="auto"/>
        <w:contextualSpacing/>
        <w:rPr>
          <w:rFonts w:ascii="宋体" w:hAnsi="宋体" w:cs="黑体"/>
          <w:szCs w:val="24"/>
        </w:rPr>
      </w:pPr>
      <w:r>
        <w:rPr>
          <w:rFonts w:hint="eastAsia" w:ascii="宋体" w:hAnsi="宋体" w:cs="黑体"/>
          <w:szCs w:val="24"/>
        </w:rPr>
        <w:t>投资者对本协议及其条款负有保密义务，未经代理销售机构书面许可，不得向任何组织、个人提供或泄露与代理销售机构有关的业务资料及信息，但法律、法规另有规定的除外。</w:t>
      </w:r>
    </w:p>
    <w:p>
      <w:pPr>
        <w:pStyle w:val="10"/>
        <w:widowControl/>
        <w:numPr>
          <w:ilvl w:val="0"/>
          <w:numId w:val="34"/>
        </w:numPr>
        <w:spacing w:line="360" w:lineRule="auto"/>
        <w:contextualSpacing/>
        <w:rPr>
          <w:rFonts w:ascii="宋体" w:hAnsi="宋体" w:cs="黑体"/>
          <w:szCs w:val="24"/>
        </w:rPr>
      </w:pPr>
      <w:r>
        <w:rPr>
          <w:rFonts w:hint="eastAsia" w:ascii="宋体" w:hAnsi="宋体" w:cs="黑体"/>
          <w:szCs w:val="24"/>
        </w:rPr>
        <w:t>投资者进行投资时，应严格遵守反洗钱相关法规的规定，切实履行反洗钱及反恐怖融资义务。</w:t>
      </w:r>
    </w:p>
    <w:p>
      <w:pPr>
        <w:pStyle w:val="10"/>
        <w:widowControl/>
        <w:numPr>
          <w:ilvl w:val="0"/>
          <w:numId w:val="34"/>
        </w:numPr>
        <w:spacing w:line="360" w:lineRule="auto"/>
        <w:contextualSpacing/>
        <w:rPr>
          <w:rFonts w:ascii="宋体" w:hAnsi="宋体" w:cs="黑体"/>
          <w:b/>
          <w:szCs w:val="24"/>
        </w:rPr>
      </w:pPr>
      <w:r>
        <w:rPr>
          <w:rFonts w:hint="eastAsia" w:ascii="宋体" w:hAnsi="宋体" w:cs="黑体"/>
          <w:b/>
          <w:szCs w:val="24"/>
        </w:rPr>
        <w:t>投资者个人信息授权</w:t>
      </w:r>
    </w:p>
    <w:p>
      <w:pPr>
        <w:pStyle w:val="10"/>
        <w:widowControl/>
        <w:spacing w:line="360" w:lineRule="auto"/>
        <w:ind w:firstLine="482" w:firstLineChars="200"/>
        <w:rPr>
          <w:rFonts w:ascii="宋体" w:hAnsi="宋体" w:cs="黑体"/>
          <w:b/>
          <w:szCs w:val="24"/>
        </w:rPr>
      </w:pPr>
      <w:r>
        <w:rPr>
          <w:rFonts w:hint="eastAsia" w:ascii="宋体" w:hAnsi="宋体" w:cs="黑体"/>
          <w:b/>
          <w:szCs w:val="24"/>
        </w:rPr>
        <w:t>基于代理销售机构履行本协议、进行服务管理和风险管理、报送监管信息等需要，履行反洗钱、投资者资质审核和销售适当性等法律法规和监管要求的义务，投资者在此同意并授权代理销售机构在业务办理或履行过程中收集、存储、使用、加工、传输包括但不限于下述投资者个人信息：个人身份信息、联络方式、财产信息、账户信息、风险偏好与投资目标、其他与业务相关的个人信息以及法律法规规定的其他必要信息。</w:t>
      </w:r>
    </w:p>
    <w:p>
      <w:pPr>
        <w:pStyle w:val="10"/>
        <w:widowControl/>
        <w:spacing w:line="360" w:lineRule="auto"/>
        <w:ind w:firstLine="482" w:firstLineChars="200"/>
        <w:rPr>
          <w:rFonts w:ascii="宋体" w:hAnsi="宋体" w:cs="黑体"/>
          <w:b/>
          <w:szCs w:val="24"/>
        </w:rPr>
      </w:pPr>
    </w:p>
    <w:p>
      <w:pPr>
        <w:widowControl/>
        <w:numPr>
          <w:ilvl w:val="0"/>
          <w:numId w:val="33"/>
        </w:numPr>
        <w:autoSpaceDE w:val="0"/>
        <w:spacing w:line="360" w:lineRule="auto"/>
        <w:ind w:firstLine="482" w:firstLineChars="200"/>
        <w:rPr>
          <w:rFonts w:ascii="宋体" w:hAnsi="宋体"/>
          <w:b/>
          <w:sz w:val="24"/>
        </w:rPr>
      </w:pPr>
      <w:r>
        <w:rPr>
          <w:rFonts w:hint="eastAsia" w:ascii="宋体" w:hAnsi="宋体"/>
          <w:b/>
          <w:sz w:val="24"/>
        </w:rPr>
        <w:t>代理销售机构的权利与义务</w:t>
      </w:r>
    </w:p>
    <w:p>
      <w:pPr>
        <w:pStyle w:val="10"/>
        <w:widowControl/>
        <w:numPr>
          <w:ilvl w:val="0"/>
          <w:numId w:val="35"/>
        </w:numPr>
        <w:autoSpaceDE w:val="0"/>
        <w:spacing w:line="360" w:lineRule="auto"/>
        <w:contextualSpacing/>
        <w:jc w:val="left"/>
        <w:rPr>
          <w:rFonts w:ascii="宋体" w:hAnsi="宋体" w:cs="黑体"/>
          <w:szCs w:val="24"/>
        </w:rPr>
      </w:pPr>
      <w:r>
        <w:rPr>
          <w:rFonts w:hint="eastAsia" w:ascii="宋体" w:hAnsi="宋体" w:cs="黑体"/>
          <w:szCs w:val="24"/>
        </w:rPr>
        <w:t>代理销售机构应对拟销售的理财计划开展尽职调查，承担审批职责，并纳入本机构统一专门名单管理，不得仅以管理人相关产品资料或其出具意见作为审批依据。代理销售机构应当根据本机构的方式和方法，独立、审慎地对代理销售的理财计划进行销售评级。销售评级与管理人产品评级结果不一致的，代理销售机构应当采用对应较高风险等级的评级结果并予以披露。</w:t>
      </w:r>
    </w:p>
    <w:p>
      <w:pPr>
        <w:pStyle w:val="10"/>
        <w:widowControl/>
        <w:numPr>
          <w:ilvl w:val="0"/>
          <w:numId w:val="35"/>
        </w:numPr>
        <w:autoSpaceDE w:val="0"/>
        <w:spacing w:line="360" w:lineRule="auto"/>
        <w:contextualSpacing/>
        <w:jc w:val="left"/>
        <w:rPr>
          <w:rFonts w:ascii="宋体" w:hAnsi="宋体" w:cs="黑体"/>
          <w:szCs w:val="24"/>
        </w:rPr>
      </w:pPr>
      <w:r>
        <w:rPr>
          <w:rFonts w:hint="eastAsia" w:ascii="宋体" w:hAnsi="宋体" w:cs="黑体"/>
          <w:b/>
          <w:szCs w:val="24"/>
        </w:rPr>
        <w:t>代理销售机构非本计划的发行、管理机构，对本计划的业绩不承担任何保证和其他经济责任，不承担本计划的投资、兑付和风险管理责任</w:t>
      </w:r>
      <w:r>
        <w:rPr>
          <w:rFonts w:hint="eastAsia" w:ascii="宋体" w:hAnsi="宋体" w:cs="黑体"/>
          <w:szCs w:val="24"/>
        </w:rPr>
        <w:t>。</w:t>
      </w:r>
    </w:p>
    <w:p>
      <w:pPr>
        <w:pStyle w:val="10"/>
        <w:widowControl/>
        <w:numPr>
          <w:ilvl w:val="0"/>
          <w:numId w:val="35"/>
        </w:numPr>
        <w:autoSpaceDE w:val="0"/>
        <w:spacing w:line="360" w:lineRule="auto"/>
        <w:contextualSpacing/>
        <w:rPr>
          <w:rFonts w:ascii="宋体" w:hAnsi="宋体" w:cs="黑体"/>
          <w:szCs w:val="24"/>
        </w:rPr>
      </w:pPr>
      <w:r>
        <w:rPr>
          <w:rFonts w:hint="eastAsia" w:ascii="宋体" w:hAnsi="宋体" w:cs="黑体"/>
          <w:szCs w:val="24"/>
        </w:rPr>
        <w:t>代理销售机构应定期对购买其代理销售的理财计划的非机构投资者进行有效风险承受能力评估，并保证向投资者推介及销售与其风险承受能力匹配的产品。</w:t>
      </w:r>
    </w:p>
    <w:p>
      <w:pPr>
        <w:pStyle w:val="10"/>
        <w:widowControl/>
        <w:numPr>
          <w:ilvl w:val="0"/>
          <w:numId w:val="35"/>
        </w:numPr>
        <w:autoSpaceDE w:val="0"/>
        <w:spacing w:line="360" w:lineRule="auto"/>
        <w:contextualSpacing/>
        <w:jc w:val="left"/>
        <w:rPr>
          <w:rFonts w:ascii="宋体" w:hAnsi="宋体" w:cs="黑体"/>
          <w:szCs w:val="24"/>
        </w:rPr>
      </w:pPr>
      <w:r>
        <w:rPr>
          <w:rFonts w:hint="eastAsia" w:ascii="宋体" w:hAnsi="宋体" w:cs="黑体"/>
          <w:szCs w:val="24"/>
        </w:rPr>
        <w:t>对于通过营业网点向非机构投资者销售理财计划的，代理销售机构应按照监管规定实施理财计划销售专区管理，对销售专区设置明显标识，并在销售专区内对每只理财计划销售过程进行录音录像。除非与非机构投资者当面书面约定，评级为四级以上理财计划的销售，应当在营业网点进行。</w:t>
      </w:r>
    </w:p>
    <w:p>
      <w:pPr>
        <w:pStyle w:val="10"/>
        <w:widowControl/>
        <w:numPr>
          <w:ilvl w:val="0"/>
          <w:numId w:val="35"/>
        </w:numPr>
        <w:autoSpaceDE w:val="0"/>
        <w:spacing w:line="360" w:lineRule="auto"/>
        <w:contextualSpacing/>
        <w:rPr>
          <w:rFonts w:ascii="宋体" w:hAnsi="宋体" w:cs="黑体"/>
          <w:szCs w:val="24"/>
        </w:rPr>
      </w:pPr>
      <w:r>
        <w:rPr>
          <w:rFonts w:hint="eastAsia" w:ascii="宋体" w:hAnsi="宋体" w:cs="黑体"/>
          <w:szCs w:val="24"/>
        </w:rPr>
        <w:t>代理销售机构不得擅自使用未经管理人授权或审核同意的理财计划宣传推介材料，在全国银行业理财信息登记系统对理财计划进行登记并获得登记编码前，不得发布理财计划宣传推介材料或办理理财计划销售业务。</w:t>
      </w:r>
    </w:p>
    <w:p>
      <w:pPr>
        <w:pStyle w:val="10"/>
        <w:widowControl/>
        <w:numPr>
          <w:ilvl w:val="0"/>
          <w:numId w:val="35"/>
        </w:numPr>
        <w:autoSpaceDE w:val="0"/>
        <w:spacing w:line="360" w:lineRule="auto"/>
        <w:contextualSpacing/>
        <w:jc w:val="left"/>
        <w:rPr>
          <w:rFonts w:ascii="宋体" w:hAnsi="宋体" w:cs="黑体"/>
          <w:szCs w:val="24"/>
        </w:rPr>
      </w:pPr>
      <w:r>
        <w:rPr>
          <w:rFonts w:hint="eastAsia" w:ascii="宋体" w:hAnsi="宋体" w:cs="黑体"/>
          <w:szCs w:val="24"/>
        </w:rPr>
        <w:t>代理销售机构应建立健全上岗资格、持续培训、信息公示与查询核实等制度并有效执行。未经代理销售机构进行上岗资格认定并签订劳动合同，任何人员不得从事理财计划销售业务活动。</w:t>
      </w:r>
    </w:p>
    <w:p>
      <w:pPr>
        <w:pStyle w:val="10"/>
        <w:widowControl/>
        <w:numPr>
          <w:ilvl w:val="0"/>
          <w:numId w:val="35"/>
        </w:numPr>
        <w:autoSpaceDE w:val="0"/>
        <w:spacing w:line="360" w:lineRule="auto"/>
        <w:contextualSpacing/>
        <w:jc w:val="left"/>
        <w:rPr>
          <w:rFonts w:ascii="宋体" w:hAnsi="宋体" w:cs="黑体"/>
          <w:szCs w:val="24"/>
        </w:rPr>
      </w:pPr>
      <w:r>
        <w:rPr>
          <w:rFonts w:hint="eastAsia" w:ascii="宋体" w:hAnsi="宋体" w:cs="黑体"/>
          <w:szCs w:val="24"/>
        </w:rPr>
        <w:t>代理销售机构应对所有销售人员信息进行登记和公示。销售人员在向投资者宣传销售理财计划前进行自我介绍并告知信息查询和核实渠道，便于投资者查询核实，防止伪冒身份和虚假宣传。</w:t>
      </w:r>
    </w:p>
    <w:p>
      <w:pPr>
        <w:pStyle w:val="10"/>
        <w:widowControl/>
        <w:numPr>
          <w:ilvl w:val="0"/>
          <w:numId w:val="35"/>
        </w:numPr>
        <w:autoSpaceDE w:val="0"/>
        <w:spacing w:line="360" w:lineRule="auto"/>
        <w:contextualSpacing/>
        <w:jc w:val="left"/>
        <w:rPr>
          <w:rFonts w:ascii="宋体" w:hAnsi="宋体" w:cs="黑体"/>
          <w:szCs w:val="24"/>
        </w:rPr>
      </w:pPr>
      <w:r>
        <w:rPr>
          <w:rFonts w:hint="eastAsia" w:ascii="宋体" w:hAnsi="宋体" w:cs="黑体"/>
          <w:szCs w:val="24"/>
        </w:rPr>
        <w:t>代理销售机构对投资者负有信息保密义务，未经投资者书面许可，乙方不得向任何组织、个人提供或泄露与甲方有关的业务资料及信息，但法律、法规另有规定的除外。</w:t>
      </w:r>
    </w:p>
    <w:p>
      <w:pPr>
        <w:pStyle w:val="10"/>
        <w:widowControl/>
        <w:numPr>
          <w:ilvl w:val="0"/>
          <w:numId w:val="35"/>
        </w:numPr>
        <w:autoSpaceDE w:val="0"/>
        <w:spacing w:line="360" w:lineRule="auto"/>
        <w:contextualSpacing/>
        <w:jc w:val="left"/>
        <w:rPr>
          <w:rFonts w:ascii="宋体" w:hAnsi="宋体" w:cs="黑体"/>
          <w:szCs w:val="24"/>
        </w:rPr>
      </w:pPr>
      <w:r>
        <w:rPr>
          <w:rFonts w:hint="eastAsia" w:ascii="宋体" w:hAnsi="宋体" w:cs="黑体"/>
          <w:szCs w:val="24"/>
        </w:rPr>
        <w:t>代理销售机构应按照法律法规、监管规定、理财计划合同的约定收取销售费用，并如实核算、记账。未经载明，不得对不同投资者适用不同费率。</w:t>
      </w:r>
    </w:p>
    <w:p>
      <w:pPr>
        <w:pStyle w:val="10"/>
        <w:widowControl/>
        <w:numPr>
          <w:ilvl w:val="0"/>
          <w:numId w:val="35"/>
        </w:numPr>
        <w:autoSpaceDE w:val="0"/>
        <w:spacing w:line="360" w:lineRule="auto"/>
        <w:contextualSpacing/>
        <w:jc w:val="left"/>
        <w:rPr>
          <w:rFonts w:ascii="宋体" w:hAnsi="宋体" w:cs="黑体"/>
          <w:szCs w:val="24"/>
        </w:rPr>
      </w:pPr>
      <w:r>
        <w:rPr>
          <w:rFonts w:hint="eastAsia" w:ascii="宋体" w:hAnsi="宋体" w:cs="黑体"/>
          <w:szCs w:val="24"/>
        </w:rPr>
        <w:t>理财计划销售结算资金属于理财计划投资者，代理销售机构不得挪用理财计划销售结算资金或将理财计划销售结算资金归入自有资产。</w:t>
      </w:r>
    </w:p>
    <w:p>
      <w:pPr>
        <w:pStyle w:val="10"/>
        <w:widowControl/>
        <w:numPr>
          <w:ilvl w:val="0"/>
          <w:numId w:val="35"/>
        </w:numPr>
        <w:autoSpaceDE w:val="0"/>
        <w:spacing w:line="360" w:lineRule="auto"/>
        <w:contextualSpacing/>
        <w:jc w:val="left"/>
        <w:rPr>
          <w:rFonts w:ascii="宋体" w:hAnsi="宋体" w:cs="黑体"/>
          <w:szCs w:val="24"/>
        </w:rPr>
      </w:pPr>
      <w:r>
        <w:rPr>
          <w:rFonts w:hint="eastAsia" w:ascii="宋体" w:hAnsi="宋体" w:cs="黑体"/>
          <w:szCs w:val="24"/>
        </w:rPr>
        <w:t>代理销售机构应遵守相关法律、法规、监管规定及理财计划合同约定，诚实守信、勤勉尽责，向购买理财计划的投资者充分传递管理人披露的产品相关信息并进行充分的风险揭示。</w:t>
      </w:r>
    </w:p>
    <w:p>
      <w:pPr>
        <w:pStyle w:val="10"/>
        <w:widowControl/>
        <w:numPr>
          <w:ilvl w:val="0"/>
          <w:numId w:val="35"/>
        </w:numPr>
        <w:autoSpaceDE w:val="0"/>
        <w:spacing w:line="360" w:lineRule="auto"/>
        <w:contextualSpacing/>
        <w:jc w:val="left"/>
        <w:rPr>
          <w:rFonts w:ascii="宋体" w:hAnsi="宋体" w:cs="黑体"/>
          <w:szCs w:val="24"/>
        </w:rPr>
      </w:pPr>
      <w:r>
        <w:rPr>
          <w:rFonts w:hint="eastAsia" w:ascii="宋体" w:hAnsi="宋体" w:cs="黑体"/>
          <w:szCs w:val="24"/>
        </w:rPr>
        <w:t>代理销售机构应当充分利用科技手段，加强对伪冒网站、伪冒产品等监测，有效防范各类欺诈风险。</w:t>
      </w:r>
    </w:p>
    <w:p>
      <w:pPr>
        <w:pStyle w:val="10"/>
        <w:widowControl/>
        <w:autoSpaceDE w:val="0"/>
        <w:spacing w:line="360" w:lineRule="auto"/>
        <w:ind w:left="482"/>
        <w:contextualSpacing/>
        <w:jc w:val="left"/>
        <w:rPr>
          <w:rFonts w:ascii="宋体" w:hAnsi="宋体" w:cs="黑体"/>
          <w:b/>
          <w:szCs w:val="24"/>
        </w:rPr>
      </w:pPr>
    </w:p>
    <w:p>
      <w:pPr>
        <w:widowControl/>
        <w:numPr>
          <w:ilvl w:val="0"/>
          <w:numId w:val="33"/>
        </w:numPr>
        <w:autoSpaceDE w:val="0"/>
        <w:spacing w:line="360" w:lineRule="auto"/>
        <w:ind w:firstLine="482" w:firstLineChars="200"/>
        <w:rPr>
          <w:rFonts w:ascii="宋体" w:hAnsi="宋体"/>
          <w:b/>
          <w:sz w:val="24"/>
        </w:rPr>
      </w:pPr>
      <w:r>
        <w:rPr>
          <w:rFonts w:hint="eastAsia" w:ascii="宋体" w:hAnsi="宋体"/>
          <w:b/>
          <w:sz w:val="24"/>
        </w:rPr>
        <w:t>理财计划认（申）购、赎回及终止</w:t>
      </w:r>
    </w:p>
    <w:p>
      <w:pPr>
        <w:pStyle w:val="10"/>
        <w:widowControl/>
        <w:numPr>
          <w:ilvl w:val="0"/>
          <w:numId w:val="36"/>
        </w:numPr>
        <w:autoSpaceDE w:val="0"/>
        <w:spacing w:line="360" w:lineRule="auto"/>
        <w:contextualSpacing/>
        <w:rPr>
          <w:rFonts w:ascii="宋体" w:hAnsi="宋体" w:cs="黑体"/>
          <w:szCs w:val="24"/>
        </w:rPr>
      </w:pPr>
      <w:r>
        <w:rPr>
          <w:rFonts w:hint="eastAsia" w:ascii="宋体" w:hAnsi="宋体" w:cs="黑体"/>
          <w:szCs w:val="24"/>
        </w:rPr>
        <w:t xml:space="preserve">理财计划认/申购办理流程：参照投资者权益须知约定。 </w:t>
      </w:r>
    </w:p>
    <w:p>
      <w:pPr>
        <w:pStyle w:val="10"/>
        <w:widowControl/>
        <w:numPr>
          <w:ilvl w:val="0"/>
          <w:numId w:val="36"/>
        </w:numPr>
        <w:autoSpaceDE w:val="0"/>
        <w:spacing w:line="360" w:lineRule="auto"/>
        <w:contextualSpacing/>
        <w:rPr>
          <w:rFonts w:ascii="宋体" w:hAnsi="宋体" w:cs="黑体"/>
          <w:szCs w:val="24"/>
        </w:rPr>
      </w:pPr>
      <w:r>
        <w:rPr>
          <w:rFonts w:hint="eastAsia" w:ascii="宋体" w:hAnsi="宋体" w:cs="黑体"/>
          <w:szCs w:val="24"/>
        </w:rPr>
        <w:t>理财计划认/申购确认：管理人根据代理销售渠道提供的交易信息及资金划付对投资者相应认/申购进行确认。</w:t>
      </w:r>
    </w:p>
    <w:p>
      <w:pPr>
        <w:pStyle w:val="10"/>
        <w:widowControl/>
        <w:numPr>
          <w:ilvl w:val="0"/>
          <w:numId w:val="36"/>
        </w:numPr>
        <w:autoSpaceDE w:val="0"/>
        <w:spacing w:line="360" w:lineRule="auto"/>
        <w:contextualSpacing/>
        <w:rPr>
          <w:rFonts w:ascii="宋体" w:hAnsi="宋体" w:cs="黑体"/>
          <w:szCs w:val="24"/>
        </w:rPr>
      </w:pPr>
      <w:r>
        <w:rPr>
          <w:rFonts w:hint="eastAsia" w:ascii="宋体" w:hAnsi="宋体" w:cs="黑体"/>
          <w:szCs w:val="24"/>
        </w:rPr>
        <w:t xml:space="preserve">理财计划不成立：若在募集期结束日，本理财计划发行规模未能达到对应期次的理财计划产品说明书规定的要求，则本理财计划不成立，代理销售机构将按对应期次的理财计划产品说明书约定条款向投资者进行公告，并将及时解除对投资者授权指定账户中认购资金的冻结。 </w:t>
      </w:r>
    </w:p>
    <w:p>
      <w:pPr>
        <w:pStyle w:val="10"/>
        <w:widowControl/>
        <w:numPr>
          <w:ilvl w:val="0"/>
          <w:numId w:val="36"/>
        </w:numPr>
        <w:autoSpaceDE w:val="0"/>
        <w:spacing w:line="360" w:lineRule="auto"/>
        <w:contextualSpacing/>
        <w:rPr>
          <w:rFonts w:ascii="宋体" w:hAnsi="宋体" w:cs="黑体"/>
          <w:szCs w:val="24"/>
        </w:rPr>
      </w:pPr>
      <w:r>
        <w:rPr>
          <w:rFonts w:hint="eastAsia" w:ascii="宋体" w:hAnsi="宋体" w:cs="黑体"/>
          <w:szCs w:val="24"/>
        </w:rPr>
        <w:t xml:space="preserve">理财计划投资品种、投资起点金额、收益支付方式：参照对应期次的理财计划产品说明书中的条款约定。 </w:t>
      </w:r>
    </w:p>
    <w:p>
      <w:pPr>
        <w:pStyle w:val="10"/>
        <w:widowControl/>
        <w:numPr>
          <w:ilvl w:val="0"/>
          <w:numId w:val="36"/>
        </w:numPr>
        <w:autoSpaceDE w:val="0"/>
        <w:spacing w:line="360" w:lineRule="auto"/>
        <w:contextualSpacing/>
        <w:rPr>
          <w:rFonts w:ascii="宋体" w:hAnsi="宋体" w:cs="黑体"/>
          <w:szCs w:val="24"/>
        </w:rPr>
      </w:pPr>
      <w:r>
        <w:rPr>
          <w:rFonts w:hint="eastAsia" w:ascii="宋体" w:hAnsi="宋体" w:cs="黑体"/>
          <w:szCs w:val="24"/>
        </w:rPr>
        <w:t>理财计划赎回/终止兑付：在正常情况下，管理人和代理销售机构将按照对应期次的理财计划产品说明书相关约定，将兑付款项划入投资者授权指定账户。如出现不可抗力、市场停市或管制等异常事件、交易对手违约或其他非管理人主导、仅能被动接受的外部事件或客观情形，导致理财计划无法按约定日清算时，或根据理财计划产品说明书约定管理人对理财计划进行延期或转换时，代理销售机构将于原约定清算日前通过信息披露途径及时通知，并根据实际情况进行后续处理。</w:t>
      </w:r>
    </w:p>
    <w:p>
      <w:pPr>
        <w:pStyle w:val="10"/>
        <w:widowControl/>
        <w:numPr>
          <w:ilvl w:val="0"/>
          <w:numId w:val="36"/>
        </w:numPr>
        <w:autoSpaceDE w:val="0"/>
        <w:spacing w:line="360" w:lineRule="auto"/>
        <w:contextualSpacing/>
        <w:rPr>
          <w:rFonts w:ascii="宋体" w:hAnsi="宋体" w:cs="黑体"/>
          <w:szCs w:val="24"/>
        </w:rPr>
      </w:pPr>
      <w:r>
        <w:rPr>
          <w:rFonts w:hint="eastAsia" w:ascii="宋体" w:hAnsi="宋体" w:cs="黑体"/>
          <w:szCs w:val="24"/>
        </w:rPr>
        <w:t>资金清算：理财计划终止或份额赎回时，管理人按理财计划合同约定划付至代理销售机构清算账户后，由代理销售机构向投资者划付投资者应得资金。如因投资者清算账户余额不足，或代理销售机构未及时足额划付资金，或代理销售机构清算账户内资金被依法冻结或扣划，或代理销售机构清算账户处于被挂失、冻结、注销或其他非正常状态等原因而导致交易失败，对于因上述原因导致的交易失败可能带来的任何损失及预期损失，投资者须自行承担或向代理销售机构依法主张。</w:t>
      </w:r>
    </w:p>
    <w:p>
      <w:pPr>
        <w:pStyle w:val="10"/>
        <w:widowControl/>
        <w:autoSpaceDE w:val="0"/>
        <w:spacing w:line="360" w:lineRule="auto"/>
        <w:ind w:left="178" w:leftChars="85"/>
        <w:contextualSpacing/>
        <w:rPr>
          <w:rFonts w:ascii="宋体" w:hAnsi="宋体" w:cs="黑体"/>
          <w:b/>
          <w:szCs w:val="24"/>
        </w:rPr>
      </w:pPr>
    </w:p>
    <w:p>
      <w:pPr>
        <w:widowControl/>
        <w:numPr>
          <w:ilvl w:val="0"/>
          <w:numId w:val="33"/>
        </w:numPr>
        <w:autoSpaceDE w:val="0"/>
        <w:spacing w:line="360" w:lineRule="auto"/>
        <w:ind w:firstLine="482" w:firstLineChars="200"/>
        <w:rPr>
          <w:rFonts w:ascii="宋体" w:hAnsi="宋体"/>
          <w:b/>
          <w:sz w:val="24"/>
        </w:rPr>
      </w:pPr>
      <w:r>
        <w:rPr>
          <w:rFonts w:hint="eastAsia" w:ascii="宋体" w:hAnsi="宋体"/>
          <w:b/>
          <w:sz w:val="24"/>
        </w:rPr>
        <w:t>违约责任及免责条款</w:t>
      </w:r>
    </w:p>
    <w:p>
      <w:pPr>
        <w:pStyle w:val="10"/>
        <w:widowControl/>
        <w:numPr>
          <w:ilvl w:val="0"/>
          <w:numId w:val="37"/>
        </w:numPr>
        <w:autoSpaceDE w:val="0"/>
        <w:spacing w:line="360" w:lineRule="auto"/>
        <w:contextualSpacing/>
        <w:rPr>
          <w:rFonts w:ascii="宋体" w:hAnsi="宋体" w:cs="黑体"/>
          <w:szCs w:val="24"/>
        </w:rPr>
      </w:pPr>
      <w:r>
        <w:rPr>
          <w:rFonts w:hint="eastAsia" w:ascii="宋体" w:hAnsi="宋体" w:cs="黑体"/>
          <w:szCs w:val="24"/>
        </w:rPr>
        <w:t>若因投资者原因导致司法或行政等有权机关采取强制措施对其理财本金、收益进行部分或全部被扣划，均视投资者本人就全部理财本金进行了提前支取，本协议自动终止。因提前终止而产生的损失及相关费用由投资者承担。本协议因前述情况终止的，理财本金不计付支取日前的理财收益，也不计付存款利息。</w:t>
      </w:r>
    </w:p>
    <w:p>
      <w:pPr>
        <w:pStyle w:val="10"/>
        <w:widowControl/>
        <w:numPr>
          <w:ilvl w:val="0"/>
          <w:numId w:val="37"/>
        </w:numPr>
        <w:autoSpaceDE w:val="0"/>
        <w:spacing w:line="360" w:lineRule="auto"/>
        <w:contextualSpacing/>
        <w:rPr>
          <w:rFonts w:ascii="宋体" w:hAnsi="宋体" w:cs="黑体"/>
          <w:szCs w:val="24"/>
        </w:rPr>
      </w:pPr>
      <w:r>
        <w:rPr>
          <w:rFonts w:hint="eastAsia" w:ascii="宋体" w:hAnsi="宋体" w:cs="黑体"/>
          <w:szCs w:val="24"/>
        </w:rPr>
        <w:t>投资者违反本协议第二条内容，应承担相应违约责任。代理销售机构对由此导致的理财业务交易延误、中断、终止及投资者损失不承担任何责任，并有权单方终止双方理财业务关系。因投资者违反双方约定给代理销售机构或全体投资者造成损失的，投资者应承担相应的赔偿责任。</w:t>
      </w:r>
    </w:p>
    <w:p>
      <w:pPr>
        <w:pStyle w:val="10"/>
        <w:widowControl/>
        <w:numPr>
          <w:ilvl w:val="0"/>
          <w:numId w:val="37"/>
        </w:numPr>
        <w:autoSpaceDE w:val="0"/>
        <w:spacing w:line="360" w:lineRule="auto"/>
        <w:contextualSpacing/>
        <w:rPr>
          <w:rFonts w:ascii="宋体" w:hAnsi="宋体" w:cs="黑体"/>
          <w:szCs w:val="24"/>
        </w:rPr>
      </w:pPr>
      <w:r>
        <w:rPr>
          <w:rFonts w:hint="eastAsia" w:ascii="宋体" w:hAnsi="宋体" w:cs="黑体"/>
          <w:szCs w:val="24"/>
        </w:rPr>
        <w:t>若由于代理销售机构过错导致理财计划资产发生损失，代理销售机构应按其过错承担赔偿责任，代理销售机构赔偿的款项计入理财计划的资产和收益。</w:t>
      </w:r>
    </w:p>
    <w:p>
      <w:pPr>
        <w:pStyle w:val="10"/>
        <w:widowControl/>
        <w:numPr>
          <w:ilvl w:val="0"/>
          <w:numId w:val="37"/>
        </w:numPr>
        <w:autoSpaceDE w:val="0"/>
        <w:spacing w:line="360" w:lineRule="auto"/>
        <w:contextualSpacing/>
        <w:rPr>
          <w:rFonts w:ascii="宋体" w:hAnsi="宋体" w:cs="黑体"/>
          <w:szCs w:val="24"/>
        </w:rPr>
      </w:pPr>
      <w:r>
        <w:rPr>
          <w:rFonts w:hint="eastAsia" w:ascii="宋体" w:hAnsi="宋体" w:cs="黑体"/>
          <w:szCs w:val="24"/>
        </w:rPr>
        <w:t>由于地震、火灾、战争等不可抗力或突发重大卫生公共事件等不可预测事件造成的交易中断、延误等风险及损失，管理人不承担责任；但代理销售机构应在上述情况发生后在条件允许时及时通知投资者并采取一切必要且可能的措施阻止损失扩大。</w:t>
      </w:r>
    </w:p>
    <w:p>
      <w:pPr>
        <w:pStyle w:val="10"/>
        <w:widowControl/>
        <w:numPr>
          <w:ilvl w:val="0"/>
          <w:numId w:val="37"/>
        </w:numPr>
        <w:autoSpaceDE w:val="0"/>
        <w:spacing w:line="360" w:lineRule="auto"/>
        <w:contextualSpacing/>
        <w:rPr>
          <w:rFonts w:ascii="宋体" w:hAnsi="宋体" w:cs="黑体"/>
          <w:szCs w:val="24"/>
        </w:rPr>
      </w:pPr>
      <w:r>
        <w:rPr>
          <w:rFonts w:hint="eastAsia" w:ascii="宋体" w:hAnsi="宋体" w:cs="黑体"/>
          <w:szCs w:val="24"/>
        </w:rPr>
        <w:t>因国家有关法律、法规、规章、政策的修改或新的法律、法规、规章、政策颁布以及紧急措施的出台导致的风险及损失，代理销售机构不承担责任。</w:t>
      </w:r>
    </w:p>
    <w:p>
      <w:pPr>
        <w:pStyle w:val="10"/>
        <w:widowControl/>
        <w:autoSpaceDE w:val="0"/>
        <w:spacing w:line="360" w:lineRule="auto"/>
        <w:rPr>
          <w:rFonts w:ascii="宋体" w:hAnsi="宋体" w:cs="黑体"/>
          <w:b/>
          <w:szCs w:val="24"/>
        </w:rPr>
      </w:pPr>
    </w:p>
    <w:p>
      <w:pPr>
        <w:widowControl/>
        <w:numPr>
          <w:ilvl w:val="0"/>
          <w:numId w:val="33"/>
        </w:numPr>
        <w:autoSpaceDE w:val="0"/>
        <w:spacing w:line="360" w:lineRule="auto"/>
        <w:ind w:firstLine="482" w:firstLineChars="200"/>
        <w:rPr>
          <w:rFonts w:ascii="宋体" w:hAnsi="宋体"/>
          <w:b/>
          <w:sz w:val="24"/>
        </w:rPr>
      </w:pPr>
      <w:r>
        <w:rPr>
          <w:rFonts w:hint="eastAsia" w:ascii="宋体" w:hAnsi="宋体"/>
          <w:b/>
          <w:sz w:val="24"/>
        </w:rPr>
        <w:t>适用法律与争议解决</w:t>
      </w:r>
    </w:p>
    <w:p>
      <w:pPr>
        <w:pStyle w:val="10"/>
        <w:widowControl/>
        <w:autoSpaceDE w:val="0"/>
        <w:spacing w:line="360" w:lineRule="auto"/>
        <w:ind w:firstLine="480" w:firstLineChars="200"/>
        <w:rPr>
          <w:rFonts w:ascii="宋体" w:hAnsi="宋体" w:cs="黑体"/>
          <w:szCs w:val="24"/>
        </w:rPr>
      </w:pPr>
      <w:r>
        <w:rPr>
          <w:rFonts w:hint="eastAsia" w:ascii="宋体" w:hAnsi="宋体" w:cs="黑体"/>
          <w:szCs w:val="24"/>
        </w:rPr>
        <w:t>本协议适用中华人民共和国（仅为明确本合同适用法律规则，不含香港特别行政区、澳门特别行政区及中国台湾地区）的法律和行政法规。本协议项下的及与之有关的一切争议，投资者与代理销售机构双方应首先协商解决，协商不成的，应提交代理销售机构所在地人民法院诉讼解决。诉讼期间，未涉及争议的条款仍需继续履行。</w:t>
      </w:r>
    </w:p>
    <w:p>
      <w:pPr>
        <w:pStyle w:val="10"/>
        <w:widowControl/>
        <w:autoSpaceDE w:val="0"/>
        <w:spacing w:line="360" w:lineRule="auto"/>
        <w:ind w:firstLine="482" w:firstLineChars="200"/>
        <w:rPr>
          <w:rFonts w:ascii="宋体" w:hAnsi="宋体" w:cs="黑体"/>
          <w:b/>
          <w:szCs w:val="24"/>
        </w:rPr>
      </w:pPr>
    </w:p>
    <w:p>
      <w:pPr>
        <w:widowControl/>
        <w:numPr>
          <w:ilvl w:val="0"/>
          <w:numId w:val="33"/>
        </w:numPr>
        <w:autoSpaceDE w:val="0"/>
        <w:spacing w:line="360" w:lineRule="auto"/>
        <w:ind w:firstLine="482" w:firstLineChars="200"/>
        <w:rPr>
          <w:rFonts w:ascii="宋体" w:hAnsi="宋体"/>
          <w:b/>
          <w:sz w:val="24"/>
        </w:rPr>
      </w:pPr>
      <w:r>
        <w:rPr>
          <w:rFonts w:hint="eastAsia" w:ascii="宋体" w:hAnsi="宋体"/>
          <w:b/>
          <w:sz w:val="24"/>
        </w:rPr>
        <w:t>协议生效和终止</w:t>
      </w:r>
    </w:p>
    <w:p>
      <w:pPr>
        <w:pStyle w:val="10"/>
        <w:widowControl/>
        <w:numPr>
          <w:ilvl w:val="0"/>
          <w:numId w:val="38"/>
        </w:numPr>
        <w:autoSpaceDE w:val="0"/>
        <w:spacing w:line="360" w:lineRule="auto"/>
        <w:contextualSpacing/>
        <w:rPr>
          <w:rFonts w:ascii="宋体" w:hAnsi="宋体" w:cs="黑体"/>
          <w:szCs w:val="24"/>
        </w:rPr>
      </w:pPr>
      <w:r>
        <w:rPr>
          <w:rFonts w:hint="eastAsia" w:ascii="宋体" w:hAnsi="宋体" w:cs="黑体"/>
          <w:szCs w:val="24"/>
        </w:rPr>
        <w:t xml:space="preserve">投资者和代理销售机构双方认可本协议可以纸质或电子数据等形式提交、订立或确认。 </w:t>
      </w:r>
    </w:p>
    <w:p>
      <w:pPr>
        <w:pStyle w:val="10"/>
        <w:widowControl/>
        <w:numPr>
          <w:ilvl w:val="0"/>
          <w:numId w:val="38"/>
        </w:numPr>
        <w:autoSpaceDE w:val="0"/>
        <w:spacing w:line="360" w:lineRule="auto"/>
        <w:contextualSpacing/>
        <w:rPr>
          <w:rFonts w:ascii="宋体" w:hAnsi="宋体" w:cs="黑体"/>
          <w:szCs w:val="24"/>
        </w:rPr>
      </w:pPr>
      <w:r>
        <w:rPr>
          <w:rFonts w:hint="eastAsia" w:ascii="宋体" w:hAnsi="宋体" w:cs="黑体"/>
          <w:szCs w:val="24"/>
        </w:rPr>
        <w:t xml:space="preserve">本协议书以纸质书面形式订立的，自投资者签字和代理销售机构签章之后立即生效。协议一式叁份，投资者、管理人和代理销售机构各执壹份，具有同等法律效力。 </w:t>
      </w:r>
    </w:p>
    <w:p>
      <w:pPr>
        <w:pStyle w:val="10"/>
        <w:widowControl/>
        <w:numPr>
          <w:ilvl w:val="0"/>
          <w:numId w:val="38"/>
        </w:numPr>
        <w:autoSpaceDE w:val="0"/>
        <w:spacing w:line="360" w:lineRule="auto"/>
        <w:contextualSpacing/>
        <w:rPr>
          <w:rFonts w:ascii="宋体" w:hAnsi="宋体" w:cs="黑体"/>
          <w:szCs w:val="24"/>
        </w:rPr>
      </w:pPr>
      <w:r>
        <w:rPr>
          <w:rFonts w:hint="eastAsia" w:ascii="宋体" w:hAnsi="宋体" w:cs="黑体"/>
          <w:szCs w:val="24"/>
        </w:rPr>
        <w:t>本协议书以数据电文形式订立的，投资者在代理销售机构的电子银行渠道（包括但不限于网上银行、手机银行或监管机构认可的其他销售渠道）点击购买理财计划，投资者使用的身份认证要素或其他安全措施完成的一切交易视为投资者本人所为，同时表示投资者已阅读本协议所有条款，并对本协议条款的含义及相应的法律后果已全部知晓并充分理解，同意接受本协议约束。本协议自投资者点击确认且销售机构电子银行提示交易成功之时生效。交易成功仅指认/申购申请提交成功，认/申购是否成功以管理人另行提供的确认为准。</w:t>
      </w:r>
    </w:p>
    <w:p>
      <w:pPr>
        <w:pStyle w:val="10"/>
        <w:widowControl/>
        <w:numPr>
          <w:ilvl w:val="0"/>
          <w:numId w:val="38"/>
        </w:numPr>
        <w:autoSpaceDE w:val="0"/>
        <w:spacing w:line="360" w:lineRule="auto"/>
        <w:contextualSpacing/>
        <w:rPr>
          <w:rFonts w:ascii="宋体" w:hAnsi="宋体" w:cs="黑体"/>
          <w:szCs w:val="24"/>
        </w:rPr>
      </w:pPr>
      <w:r>
        <w:rPr>
          <w:rFonts w:hint="eastAsia" w:ascii="宋体" w:hAnsi="宋体" w:cs="黑体"/>
          <w:szCs w:val="24"/>
        </w:rPr>
        <w:t>投资者和代理销售机构双方在本协议及对应期次的理财计划产品说明书项下权利义务履行完毕之日，本协议自动终止。</w:t>
      </w:r>
    </w:p>
    <w:p>
      <w:pPr>
        <w:pStyle w:val="10"/>
        <w:widowControl/>
        <w:autoSpaceDE w:val="0"/>
        <w:spacing w:line="360" w:lineRule="auto"/>
        <w:ind w:left="420"/>
        <w:contextualSpacing/>
        <w:rPr>
          <w:rFonts w:ascii="宋体" w:hAnsi="宋体" w:cs="黑体"/>
          <w:szCs w:val="24"/>
        </w:rPr>
      </w:pPr>
    </w:p>
    <w:p>
      <w:pPr>
        <w:widowControl/>
        <w:numPr>
          <w:ilvl w:val="0"/>
          <w:numId w:val="33"/>
        </w:numPr>
        <w:autoSpaceDE w:val="0"/>
        <w:spacing w:line="360" w:lineRule="auto"/>
        <w:ind w:firstLine="482" w:firstLineChars="200"/>
        <w:rPr>
          <w:rFonts w:ascii="宋体" w:hAnsi="宋体"/>
          <w:b/>
          <w:sz w:val="24"/>
        </w:rPr>
      </w:pPr>
      <w:r>
        <w:rPr>
          <w:rFonts w:hint="eastAsia" w:ascii="宋体" w:hAnsi="宋体"/>
          <w:b/>
          <w:sz w:val="24"/>
        </w:rPr>
        <w:t xml:space="preserve">附则 </w:t>
      </w:r>
    </w:p>
    <w:p>
      <w:pPr>
        <w:pStyle w:val="10"/>
        <w:widowControl/>
        <w:numPr>
          <w:ilvl w:val="0"/>
          <w:numId w:val="39"/>
        </w:numPr>
        <w:autoSpaceDE w:val="0"/>
        <w:spacing w:line="360" w:lineRule="auto"/>
        <w:contextualSpacing/>
        <w:rPr>
          <w:rFonts w:ascii="宋体" w:hAnsi="宋体" w:cs="黑体"/>
          <w:szCs w:val="24"/>
        </w:rPr>
      </w:pPr>
      <w:r>
        <w:rPr>
          <w:rFonts w:hint="eastAsia" w:ascii="宋体" w:hAnsi="宋体" w:cs="黑体"/>
          <w:szCs w:val="24"/>
        </w:rPr>
        <w:t>如果投资者与代理销售机构之间存在多份理财计划销售协议书，则每一协议书分别与其所对应的理财计划产品说明书等销售文本单独构成一个理财计划合同，各个合同之间互相独立，每一合同的效力及履行情况均独立于其他合同。</w:t>
      </w:r>
    </w:p>
    <w:p>
      <w:pPr>
        <w:pStyle w:val="10"/>
        <w:widowControl/>
        <w:numPr>
          <w:ilvl w:val="0"/>
          <w:numId w:val="39"/>
        </w:numPr>
        <w:autoSpaceDE w:val="0"/>
        <w:spacing w:line="360" w:lineRule="auto"/>
        <w:contextualSpacing/>
        <w:rPr>
          <w:rFonts w:ascii="宋体" w:hAnsi="宋体" w:cs="黑体"/>
          <w:szCs w:val="24"/>
        </w:rPr>
      </w:pPr>
      <w:r>
        <w:rPr>
          <w:rFonts w:hint="eastAsia" w:ascii="宋体" w:hAnsi="宋体" w:cs="黑体"/>
          <w:szCs w:val="24"/>
        </w:rPr>
        <w:t>如果由于任何原因使本合同下的任何条款或内容成为无效或被依法撤销，本合同其他条款或内容的合法性、有效性和可执行性不受影响。</w:t>
      </w:r>
    </w:p>
    <w:p>
      <w:pPr>
        <w:pStyle w:val="10"/>
        <w:widowControl/>
        <w:numPr>
          <w:ilvl w:val="0"/>
          <w:numId w:val="39"/>
        </w:numPr>
        <w:autoSpaceDE w:val="0"/>
        <w:spacing w:line="360" w:lineRule="auto"/>
        <w:contextualSpacing/>
        <w:rPr>
          <w:rFonts w:ascii="宋体" w:hAnsi="宋体" w:cs="宋体"/>
          <w:szCs w:val="24"/>
        </w:rPr>
      </w:pPr>
      <w:r>
        <w:rPr>
          <w:rFonts w:hint="eastAsia" w:ascii="宋体" w:hAnsi="宋体" w:cs="黑体"/>
          <w:szCs w:val="24"/>
        </w:rPr>
        <w:t>在理财计划存续期内，如因监管政策或法律法规发生变化，在不损害投资者利益的前提下，管理人有权单方对理财计划合同销售文件进行修订。</w:t>
      </w:r>
    </w:p>
    <w:p>
      <w:pPr>
        <w:pStyle w:val="10"/>
        <w:widowControl/>
        <w:tabs>
          <w:tab w:val="left" w:pos="0"/>
        </w:tabs>
        <w:autoSpaceDE w:val="0"/>
        <w:spacing w:line="360" w:lineRule="auto"/>
        <w:ind w:left="420"/>
        <w:contextualSpacing/>
        <w:rPr>
          <w:rFonts w:ascii="宋体" w:hAnsi="宋体" w:cs="宋体"/>
          <w:szCs w:val="24"/>
        </w:rPr>
      </w:pPr>
    </w:p>
    <w:p>
      <w:pPr>
        <w:widowControl/>
        <w:spacing w:line="360" w:lineRule="auto"/>
        <w:jc w:val="right"/>
        <w:rPr>
          <w:rFonts w:ascii="宋体" w:hAnsi="宋体" w:cs="宋体"/>
          <w:color w:val="000000"/>
          <w:kern w:val="0"/>
          <w:sz w:val="24"/>
        </w:rPr>
      </w:pPr>
      <w:r>
        <w:rPr>
          <w:rFonts w:hint="eastAsia" w:ascii="宋体" w:hAnsi="宋体" w:cs="宋体"/>
          <w:kern w:val="0"/>
          <w:sz w:val="24"/>
        </w:rPr>
        <w:t>杭银理财有限责任公司</w:t>
      </w:r>
    </w:p>
    <w:p>
      <w:pPr>
        <w:spacing w:line="360" w:lineRule="auto"/>
        <w:rPr>
          <w:rFonts w:ascii="宋体" w:hAnsi="宋体"/>
          <w:sz w:val="24"/>
        </w:rPr>
      </w:pPr>
      <w:r>
        <w:rPr>
          <w:rFonts w:hint="eastAsia" w:ascii="宋体" w:hAnsi="宋体" w:cs="Times New Roman"/>
          <w:color w:val="000000"/>
          <w:sz w:val="24"/>
        </w:rPr>
        <w:br w:type="page"/>
      </w:r>
      <w:r>
        <w:rPr>
          <w:rFonts w:hint="eastAsia" w:ascii="宋体" w:hAnsi="宋体"/>
          <w:sz w:val="24"/>
        </w:rPr>
        <w:t>本页为纸质形式（如有）销售协议书签章页</w:t>
      </w:r>
    </w:p>
    <w:p>
      <w:pPr>
        <w:spacing w:line="360" w:lineRule="auto"/>
        <w:rPr>
          <w:sz w:val="24"/>
        </w:rPr>
      </w:pPr>
    </w:p>
    <w:p>
      <w:pPr>
        <w:spacing w:line="360" w:lineRule="auto"/>
        <w:rPr>
          <w:sz w:val="24"/>
        </w:rPr>
      </w:pPr>
    </w:p>
    <w:p>
      <w:pPr>
        <w:spacing w:line="360" w:lineRule="auto"/>
        <w:rPr>
          <w:sz w:val="24"/>
        </w:rPr>
      </w:pPr>
    </w:p>
    <w:p>
      <w:pPr>
        <w:spacing w:line="360" w:lineRule="auto"/>
        <w:rPr>
          <w:sz w:val="24"/>
        </w:rPr>
      </w:pPr>
    </w:p>
    <w:p>
      <w:pPr>
        <w:spacing w:line="360" w:lineRule="auto"/>
        <w:rPr>
          <w:sz w:val="24"/>
        </w:rPr>
      </w:pPr>
    </w:p>
    <w:p>
      <w:pPr>
        <w:spacing w:line="360" w:lineRule="auto"/>
        <w:rPr>
          <w:sz w:val="24"/>
        </w:rPr>
      </w:pPr>
    </w:p>
    <w:p>
      <w:pPr>
        <w:spacing w:line="360" w:lineRule="auto"/>
        <w:rPr>
          <w:sz w:val="24"/>
        </w:rPr>
      </w:pPr>
    </w:p>
    <w:p>
      <w:pPr>
        <w:spacing w:line="360" w:lineRule="auto"/>
        <w:rPr>
          <w:sz w:val="24"/>
        </w:rPr>
      </w:pPr>
    </w:p>
    <w:p>
      <w:pPr>
        <w:spacing w:line="360" w:lineRule="auto"/>
        <w:rPr>
          <w:rFonts w:ascii="宋体" w:hAnsi="宋体"/>
          <w:b/>
          <w:sz w:val="24"/>
        </w:rPr>
      </w:pPr>
      <w:r>
        <w:rPr>
          <w:rFonts w:hint="eastAsia" w:ascii="宋体" w:hAnsi="宋体"/>
          <w:b/>
          <w:sz w:val="24"/>
        </w:rPr>
        <w:t>投资者（签字）：</w:t>
      </w:r>
    </w:p>
    <w:p>
      <w:pPr>
        <w:spacing w:beforeLines="50" w:afterLines="50" w:line="360" w:lineRule="auto"/>
        <w:ind w:firstLine="4800" w:firstLineChars="2000"/>
        <w:jc w:val="right"/>
        <w:rPr>
          <w:rFonts w:ascii="Arial" w:hAnsi="Arial" w:cs="Times New Roman"/>
          <w:sz w:val="24"/>
        </w:rPr>
      </w:pPr>
      <w:r>
        <w:rPr>
          <w:rFonts w:hint="eastAsia" w:ascii="Arial" w:hAnsi="Arial" w:cs="宋体"/>
          <w:sz w:val="24"/>
        </w:rPr>
        <w:t>年    月   日</w:t>
      </w:r>
    </w:p>
    <w:p>
      <w:pPr>
        <w:spacing w:line="360" w:lineRule="auto"/>
        <w:rPr>
          <w:rFonts w:ascii="宋体" w:hAnsi="宋体"/>
          <w:b/>
          <w:sz w:val="24"/>
        </w:rPr>
      </w:pPr>
    </w:p>
    <w:p>
      <w:pPr>
        <w:spacing w:line="360" w:lineRule="auto"/>
        <w:rPr>
          <w:rFonts w:ascii="宋体" w:hAnsi="宋体"/>
          <w:b/>
          <w:sz w:val="24"/>
        </w:rPr>
      </w:pPr>
    </w:p>
    <w:p>
      <w:pPr>
        <w:spacing w:line="360" w:lineRule="auto"/>
        <w:rPr>
          <w:rFonts w:ascii="宋体" w:hAnsi="宋体"/>
          <w:b/>
          <w:sz w:val="24"/>
        </w:rPr>
      </w:pPr>
    </w:p>
    <w:p>
      <w:pPr>
        <w:spacing w:line="360" w:lineRule="auto"/>
        <w:rPr>
          <w:rFonts w:ascii="宋体" w:hAnsi="宋体"/>
          <w:b/>
          <w:sz w:val="24"/>
        </w:rPr>
      </w:pPr>
    </w:p>
    <w:p>
      <w:pPr>
        <w:spacing w:line="360" w:lineRule="auto"/>
        <w:rPr>
          <w:rFonts w:ascii="宋体" w:hAnsi="宋体"/>
          <w:b/>
          <w:sz w:val="24"/>
        </w:rPr>
      </w:pPr>
      <w:r>
        <w:rPr>
          <w:rFonts w:hint="eastAsia" w:ascii="宋体" w:hAnsi="宋体"/>
          <w:b/>
          <w:sz w:val="24"/>
        </w:rPr>
        <w:t>代理销售机构签章：</w:t>
      </w:r>
    </w:p>
    <w:p>
      <w:pPr>
        <w:spacing w:line="360" w:lineRule="auto"/>
        <w:rPr>
          <w:rFonts w:ascii="宋体" w:hAnsi="宋体"/>
          <w:b/>
          <w:sz w:val="24"/>
        </w:rPr>
      </w:pPr>
    </w:p>
    <w:p>
      <w:pPr>
        <w:spacing w:line="360" w:lineRule="auto"/>
        <w:rPr>
          <w:rFonts w:ascii="宋体" w:hAnsi="宋体"/>
          <w:b/>
          <w:sz w:val="24"/>
        </w:rPr>
      </w:pPr>
    </w:p>
    <w:p>
      <w:pPr>
        <w:spacing w:line="520" w:lineRule="exact"/>
        <w:ind w:firstLine="484" w:firstLineChars="202"/>
        <w:rPr>
          <w:rFonts w:hint="eastAsia" w:ascii="宋体" w:hAnsi="Wingdings" w:cs="宋体"/>
          <w:color w:val="000000"/>
          <w:kern w:val="0"/>
        </w:rPr>
      </w:pPr>
      <w:r>
        <w:rPr>
          <w:rFonts w:hint="eastAsia" w:ascii="Arial" w:hAnsi="Arial" w:cs="宋体"/>
          <w:sz w:val="24"/>
        </w:rPr>
        <w:t>年    月   日</w:t>
      </w:r>
    </w:p>
    <w:p>
      <w:pPr>
        <w:spacing w:line="520" w:lineRule="exact"/>
        <w:ind w:firstLine="424" w:firstLineChars="202"/>
        <w:rPr>
          <w:rFonts w:hint="eastAsia" w:ascii="宋体" w:hAnsi="Wingdings" w:cs="宋体"/>
          <w:color w:val="000000"/>
          <w:kern w:val="0"/>
        </w:rPr>
      </w:pPr>
    </w:p>
    <w:sectPr>
      <w:footerReference r:id="rId3" w:type="default"/>
      <w:pgSz w:w="11906" w:h="16838"/>
      <w:pgMar w:top="1440" w:right="1486" w:bottom="1440" w:left="138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pict>
        <v:shape id="文本框 12" o:spid="_x0000_s4097" o:spt="202" type="#_x0000_t202" style="position:absolute;left:0pt;margin-top:0pt;height:12.8pt;width:10.65pt;mso-position-horizontal:center;mso-position-horizontal-relative:margin;mso-wrap-style:none;z-index:251658240;mso-width-relative:page;mso-height-relative:page;" filled="f" stroked="f" coordsize="21600,21600">
          <v:path/>
          <v:fill on="f" focussize="0,0"/>
          <v:stroke on="f" joinstyle="miter"/>
          <v:imagedata o:title=""/>
          <o:lock v:ext="edit"/>
          <v:textbox inset="0mm,0mm,0mm,0mm" style="mso-fit-shape-to-text:t;">
            <w:txbxContent>
              <w:p>
                <w:pPr>
                  <w:snapToGrid w:val="0"/>
                  <w:rPr>
                    <w:rFonts w:cs="Times New Roman"/>
                    <w:sz w:val="18"/>
                    <w:szCs w:val="18"/>
                  </w:rPr>
                </w:pPr>
                <w:r>
                  <w:fldChar w:fldCharType="begin"/>
                </w:r>
                <w:r>
                  <w:instrText xml:space="preserve"> PAGE  \* MERGEFORMAT </w:instrText>
                </w:r>
                <w:r>
                  <w:fldChar w:fldCharType="separate"/>
                </w:r>
                <w:r>
                  <w:t>8</w:t>
                </w:r>
                <w:r>
                  <w:fldChar w:fldCharType="end"/>
                </w:r>
              </w:p>
            </w:txbxContent>
          </v:textbox>
          <w10:anchorlock/>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C06F53F"/>
    <w:multiLevelType w:val="multilevel"/>
    <w:tmpl w:val="AC06F53F"/>
    <w:lvl w:ilvl="0" w:tentative="0">
      <w:start w:val="1"/>
      <w:numFmt w:val="chineseCounting"/>
      <w:suff w:val="nothing"/>
      <w:lvlText w:val="（%1）"/>
      <w:lvlJc w:val="left"/>
      <w:pPr>
        <w:tabs>
          <w:tab w:val="left" w:pos="0"/>
        </w:tabs>
        <w:ind w:left="0" w:firstLine="420"/>
      </w:pPr>
      <w:rPr>
        <w:rFonts w:hint="eastAsia" w:ascii="宋体" w:hAnsi="宋体" w:eastAsia="宋体" w:cs="宋体"/>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1">
    <w:nsid w:val="B3339662"/>
    <w:multiLevelType w:val="multilevel"/>
    <w:tmpl w:val="B3339662"/>
    <w:lvl w:ilvl="0" w:tentative="0">
      <w:start w:val="1"/>
      <w:numFmt w:val="chineseCounting"/>
      <w:suff w:val="nothing"/>
      <w:lvlText w:val="（%1）"/>
      <w:lvlJc w:val="left"/>
      <w:pPr>
        <w:tabs>
          <w:tab w:val="left" w:pos="0"/>
        </w:tabs>
        <w:ind w:left="0" w:firstLine="420"/>
      </w:pPr>
      <w:rPr>
        <w:rFonts w:hint="eastAsia" w:ascii="宋体" w:hAnsi="宋体" w:eastAsia="宋体" w:cs="宋体"/>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2">
    <w:nsid w:val="D8BBA51B"/>
    <w:multiLevelType w:val="singleLevel"/>
    <w:tmpl w:val="D8BBA51B"/>
    <w:lvl w:ilvl="0" w:tentative="0">
      <w:start w:val="11"/>
      <w:numFmt w:val="chineseCounting"/>
      <w:suff w:val="nothing"/>
      <w:lvlText w:val="%1、"/>
      <w:lvlJc w:val="left"/>
      <w:rPr>
        <w:rFonts w:hint="eastAsia"/>
      </w:rPr>
    </w:lvl>
  </w:abstractNum>
  <w:abstractNum w:abstractNumId="3">
    <w:nsid w:val="F3DD4737"/>
    <w:multiLevelType w:val="multilevel"/>
    <w:tmpl w:val="F3DD4737"/>
    <w:lvl w:ilvl="0" w:tentative="0">
      <w:start w:val="1"/>
      <w:numFmt w:val="chineseCounting"/>
      <w:suff w:val="nothing"/>
      <w:lvlText w:val="（%1）"/>
      <w:lvlJc w:val="left"/>
      <w:pPr>
        <w:tabs>
          <w:tab w:val="left" w:pos="0"/>
        </w:tabs>
        <w:ind w:left="0" w:firstLine="420"/>
      </w:pPr>
      <w:rPr>
        <w:rFonts w:hint="eastAsia" w:ascii="宋体" w:hAnsi="宋体" w:eastAsia="宋体" w:cs="宋体"/>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4">
    <w:nsid w:val="F72BC498"/>
    <w:multiLevelType w:val="multilevel"/>
    <w:tmpl w:val="F72BC498"/>
    <w:lvl w:ilvl="0" w:tentative="0">
      <w:start w:val="1"/>
      <w:numFmt w:val="chineseCounting"/>
      <w:suff w:val="space"/>
      <w:lvlText w:val="第%1条"/>
      <w:lvlJc w:val="left"/>
      <w:pPr>
        <w:tabs>
          <w:tab w:val="left" w:pos="0"/>
        </w:tabs>
        <w:ind w:left="0" w:firstLine="0"/>
      </w:pPr>
      <w:rPr>
        <w:rFonts w:hint="eastAsia" w:ascii="宋体" w:hAnsi="宋体" w:eastAsia="宋体" w:cs="宋体"/>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5">
    <w:nsid w:val="06247AAE"/>
    <w:multiLevelType w:val="multilevel"/>
    <w:tmpl w:val="06247AAE"/>
    <w:lvl w:ilvl="0" w:tentative="0">
      <w:start w:val="1"/>
      <w:numFmt w:val="chineseCounting"/>
      <w:suff w:val="nothing"/>
      <w:lvlText w:val="（%1）"/>
      <w:lvlJc w:val="left"/>
      <w:pPr>
        <w:tabs>
          <w:tab w:val="left" w:pos="0"/>
        </w:tabs>
        <w:ind w:left="0" w:firstLine="420"/>
      </w:pPr>
      <w:rPr>
        <w:rFonts w:hint="eastAsia" w:ascii="宋体" w:hAnsi="宋体" w:eastAsia="宋体" w:cs="宋体"/>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6">
    <w:nsid w:val="089D2538"/>
    <w:multiLevelType w:val="multilevel"/>
    <w:tmpl w:val="089D2538"/>
    <w:lvl w:ilvl="0" w:tentative="0">
      <w:start w:val="2"/>
      <w:numFmt w:val="japaneseCounting"/>
      <w:lvlText w:val="（%1）"/>
      <w:lvlJc w:val="left"/>
      <w:pPr>
        <w:ind w:left="1140" w:hanging="720"/>
      </w:pPr>
      <w:rPr>
        <w:rFonts w:hint="default"/>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7">
    <w:nsid w:val="09966FD6"/>
    <w:multiLevelType w:val="multilevel"/>
    <w:tmpl w:val="09966FD6"/>
    <w:lvl w:ilvl="0" w:tentative="0">
      <w:start w:val="1"/>
      <w:numFmt w:val="chineseCounting"/>
      <w:suff w:val="nothing"/>
      <w:lvlText w:val="（%1）"/>
      <w:lvlJc w:val="left"/>
      <w:pPr>
        <w:ind w:left="0" w:firstLine="420"/>
      </w:pPr>
      <w:rPr>
        <w:rFonts w:hint="eastAsia" w:ascii="宋体" w:hAnsi="宋体" w:eastAsia="宋体"/>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8">
    <w:nsid w:val="09A820B7"/>
    <w:multiLevelType w:val="multilevel"/>
    <w:tmpl w:val="09A820B7"/>
    <w:lvl w:ilvl="0" w:tentative="0">
      <w:start w:val="1"/>
      <w:numFmt w:val="decimal"/>
      <w:lvlText w:val="%1."/>
      <w:lvlJc w:val="left"/>
      <w:pPr>
        <w:ind w:left="844" w:hanging="420"/>
      </w:pPr>
    </w:lvl>
    <w:lvl w:ilvl="1" w:tentative="0">
      <w:start w:val="1"/>
      <w:numFmt w:val="lowerLetter"/>
      <w:lvlText w:val="%2)"/>
      <w:lvlJc w:val="left"/>
      <w:pPr>
        <w:ind w:left="1264" w:hanging="420"/>
      </w:pPr>
    </w:lvl>
    <w:lvl w:ilvl="2" w:tentative="0">
      <w:start w:val="1"/>
      <w:numFmt w:val="lowerRoman"/>
      <w:lvlText w:val="%3."/>
      <w:lvlJc w:val="right"/>
      <w:pPr>
        <w:ind w:left="1684" w:hanging="420"/>
      </w:pPr>
    </w:lvl>
    <w:lvl w:ilvl="3" w:tentative="0">
      <w:start w:val="1"/>
      <w:numFmt w:val="decimal"/>
      <w:lvlText w:val="%4."/>
      <w:lvlJc w:val="left"/>
      <w:pPr>
        <w:ind w:left="2104" w:hanging="420"/>
      </w:pPr>
    </w:lvl>
    <w:lvl w:ilvl="4" w:tentative="0">
      <w:start w:val="1"/>
      <w:numFmt w:val="lowerLetter"/>
      <w:lvlText w:val="%5)"/>
      <w:lvlJc w:val="left"/>
      <w:pPr>
        <w:ind w:left="2524" w:hanging="420"/>
      </w:pPr>
    </w:lvl>
    <w:lvl w:ilvl="5" w:tentative="0">
      <w:start w:val="1"/>
      <w:numFmt w:val="lowerRoman"/>
      <w:lvlText w:val="%6."/>
      <w:lvlJc w:val="right"/>
      <w:pPr>
        <w:ind w:left="2944" w:hanging="420"/>
      </w:pPr>
    </w:lvl>
    <w:lvl w:ilvl="6" w:tentative="0">
      <w:start w:val="1"/>
      <w:numFmt w:val="decimal"/>
      <w:lvlText w:val="%7."/>
      <w:lvlJc w:val="left"/>
      <w:pPr>
        <w:ind w:left="3364" w:hanging="420"/>
      </w:pPr>
    </w:lvl>
    <w:lvl w:ilvl="7" w:tentative="0">
      <w:start w:val="1"/>
      <w:numFmt w:val="lowerLetter"/>
      <w:lvlText w:val="%8)"/>
      <w:lvlJc w:val="left"/>
      <w:pPr>
        <w:ind w:left="3784" w:hanging="420"/>
      </w:pPr>
    </w:lvl>
    <w:lvl w:ilvl="8" w:tentative="0">
      <w:start w:val="1"/>
      <w:numFmt w:val="lowerRoman"/>
      <w:lvlText w:val="%9."/>
      <w:lvlJc w:val="right"/>
      <w:pPr>
        <w:ind w:left="4204" w:hanging="420"/>
      </w:pPr>
    </w:lvl>
  </w:abstractNum>
  <w:abstractNum w:abstractNumId="9">
    <w:nsid w:val="0D9B1588"/>
    <w:multiLevelType w:val="multilevel"/>
    <w:tmpl w:val="0D9B1588"/>
    <w:lvl w:ilvl="0" w:tentative="0">
      <w:start w:val="4"/>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
    <w:nsid w:val="147E51E6"/>
    <w:multiLevelType w:val="multilevel"/>
    <w:tmpl w:val="147E51E6"/>
    <w:lvl w:ilvl="0" w:tentative="0">
      <w:start w:val="1"/>
      <w:numFmt w:val="chineseCounting"/>
      <w:suff w:val="space"/>
      <w:lvlText w:val="第%1条"/>
      <w:lvlJc w:val="left"/>
      <w:pPr>
        <w:ind w:left="0" w:firstLine="0"/>
      </w:pPr>
      <w:rPr>
        <w:rFonts w:hint="eastAsia" w:ascii="宋体" w:hAnsi="宋体" w:eastAsia="宋体"/>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11">
    <w:nsid w:val="16713138"/>
    <w:multiLevelType w:val="multilevel"/>
    <w:tmpl w:val="16713138"/>
    <w:lvl w:ilvl="0" w:tentative="0">
      <w:start w:val="3"/>
      <w:numFmt w:val="chineseCounting"/>
      <w:suff w:val="nothing"/>
      <w:lvlText w:val="%1、"/>
      <w:lvlJc w:val="left"/>
      <w:pPr>
        <w:ind w:left="0" w:firstLine="420"/>
      </w:pPr>
      <w:rPr>
        <w:rFonts w:hint="eastAsia" w:ascii="宋体" w:hAnsi="宋体" w:eastAsia="宋体"/>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12">
    <w:nsid w:val="19BB3ED1"/>
    <w:multiLevelType w:val="multilevel"/>
    <w:tmpl w:val="19BB3ED1"/>
    <w:lvl w:ilvl="0" w:tentative="0">
      <w:start w:val="1"/>
      <w:numFmt w:val="decimal"/>
      <w:lvlText w:val="%1．"/>
      <w:lvlJc w:val="left"/>
      <w:pPr>
        <w:ind w:left="772" w:hanging="360"/>
      </w:pPr>
      <w:rPr>
        <w:rFonts w:hint="default" w:cs="宋体"/>
      </w:rPr>
    </w:lvl>
    <w:lvl w:ilvl="1" w:tentative="0">
      <w:start w:val="1"/>
      <w:numFmt w:val="lowerLetter"/>
      <w:lvlText w:val="%2)"/>
      <w:lvlJc w:val="left"/>
      <w:pPr>
        <w:ind w:left="1252" w:hanging="420"/>
      </w:pPr>
    </w:lvl>
    <w:lvl w:ilvl="2" w:tentative="0">
      <w:start w:val="1"/>
      <w:numFmt w:val="lowerRoman"/>
      <w:lvlText w:val="%3."/>
      <w:lvlJc w:val="right"/>
      <w:pPr>
        <w:ind w:left="1672" w:hanging="420"/>
      </w:pPr>
    </w:lvl>
    <w:lvl w:ilvl="3" w:tentative="0">
      <w:start w:val="1"/>
      <w:numFmt w:val="decimal"/>
      <w:lvlText w:val="%4."/>
      <w:lvlJc w:val="left"/>
      <w:pPr>
        <w:ind w:left="2092" w:hanging="420"/>
      </w:pPr>
    </w:lvl>
    <w:lvl w:ilvl="4" w:tentative="0">
      <w:start w:val="1"/>
      <w:numFmt w:val="lowerLetter"/>
      <w:lvlText w:val="%5)"/>
      <w:lvlJc w:val="left"/>
      <w:pPr>
        <w:ind w:left="2512" w:hanging="420"/>
      </w:pPr>
    </w:lvl>
    <w:lvl w:ilvl="5" w:tentative="0">
      <w:start w:val="1"/>
      <w:numFmt w:val="lowerRoman"/>
      <w:lvlText w:val="%6."/>
      <w:lvlJc w:val="right"/>
      <w:pPr>
        <w:ind w:left="2932" w:hanging="420"/>
      </w:pPr>
    </w:lvl>
    <w:lvl w:ilvl="6" w:tentative="0">
      <w:start w:val="1"/>
      <w:numFmt w:val="decimal"/>
      <w:lvlText w:val="%7."/>
      <w:lvlJc w:val="left"/>
      <w:pPr>
        <w:ind w:left="3352" w:hanging="420"/>
      </w:pPr>
    </w:lvl>
    <w:lvl w:ilvl="7" w:tentative="0">
      <w:start w:val="1"/>
      <w:numFmt w:val="lowerLetter"/>
      <w:lvlText w:val="%8)"/>
      <w:lvlJc w:val="left"/>
      <w:pPr>
        <w:ind w:left="3772" w:hanging="420"/>
      </w:pPr>
    </w:lvl>
    <w:lvl w:ilvl="8" w:tentative="0">
      <w:start w:val="1"/>
      <w:numFmt w:val="lowerRoman"/>
      <w:lvlText w:val="%9."/>
      <w:lvlJc w:val="right"/>
      <w:pPr>
        <w:ind w:left="4192" w:hanging="420"/>
      </w:pPr>
    </w:lvl>
  </w:abstractNum>
  <w:abstractNum w:abstractNumId="13">
    <w:nsid w:val="1A14F15A"/>
    <w:multiLevelType w:val="multilevel"/>
    <w:tmpl w:val="1A14F15A"/>
    <w:lvl w:ilvl="0" w:tentative="0">
      <w:start w:val="1"/>
      <w:numFmt w:val="chineseCounting"/>
      <w:suff w:val="nothing"/>
      <w:lvlText w:val="（%1）"/>
      <w:lvlJc w:val="left"/>
      <w:pPr>
        <w:tabs>
          <w:tab w:val="left" w:pos="0"/>
        </w:tabs>
        <w:ind w:left="0" w:firstLine="420"/>
      </w:pPr>
      <w:rPr>
        <w:rFonts w:hint="eastAsia" w:ascii="宋体" w:hAnsi="宋体" w:eastAsia="宋体" w:cs="宋体"/>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14">
    <w:nsid w:val="1B720CFF"/>
    <w:multiLevelType w:val="multilevel"/>
    <w:tmpl w:val="1B720CFF"/>
    <w:lvl w:ilvl="0" w:tentative="0">
      <w:start w:val="2"/>
      <w:numFmt w:val="chineseCounting"/>
      <w:suff w:val="nothing"/>
      <w:lvlText w:val="%1、"/>
      <w:lvlJc w:val="left"/>
      <w:pPr>
        <w:ind w:left="0" w:firstLine="420"/>
      </w:pPr>
      <w:rPr>
        <w:rFonts w:hint="eastAsia" w:ascii="宋体" w:hAnsi="宋体" w:eastAsia="宋体"/>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15">
    <w:nsid w:val="225D6F4E"/>
    <w:multiLevelType w:val="multilevel"/>
    <w:tmpl w:val="225D6F4E"/>
    <w:lvl w:ilvl="0" w:tentative="0">
      <w:start w:val="1"/>
      <w:numFmt w:val="chineseCountingThousand"/>
      <w:suff w:val="nothing"/>
      <w:lvlText w:val="（%1）"/>
      <w:lvlJc w:val="left"/>
      <w:pPr>
        <w:ind w:left="1211" w:hanging="360"/>
      </w:pPr>
      <w:rPr>
        <w:rFonts w:hint="default" w:ascii="Times New Roman" w:hAnsi="Times New Roman" w:eastAsia="宋体"/>
      </w:rPr>
    </w:lvl>
    <w:lvl w:ilvl="1" w:tentative="0">
      <w:start w:val="1"/>
      <w:numFmt w:val="lowerLetter"/>
      <w:lvlText w:val="%2)"/>
      <w:lvlJc w:val="left"/>
      <w:pPr>
        <w:ind w:left="1280" w:hanging="420"/>
      </w:pPr>
    </w:lvl>
    <w:lvl w:ilvl="2" w:tentative="0">
      <w:start w:val="1"/>
      <w:numFmt w:val="lowerRoman"/>
      <w:lvlText w:val="%3."/>
      <w:lvlJc w:val="right"/>
      <w:pPr>
        <w:ind w:left="1700" w:hanging="420"/>
      </w:pPr>
    </w:lvl>
    <w:lvl w:ilvl="3" w:tentative="0">
      <w:start w:val="1"/>
      <w:numFmt w:val="decimal"/>
      <w:lvlText w:val="%4."/>
      <w:lvlJc w:val="left"/>
      <w:pPr>
        <w:ind w:left="2120" w:hanging="420"/>
      </w:pPr>
    </w:lvl>
    <w:lvl w:ilvl="4" w:tentative="0">
      <w:start w:val="1"/>
      <w:numFmt w:val="lowerLetter"/>
      <w:lvlText w:val="%5)"/>
      <w:lvlJc w:val="left"/>
      <w:pPr>
        <w:ind w:left="2540" w:hanging="420"/>
      </w:pPr>
    </w:lvl>
    <w:lvl w:ilvl="5" w:tentative="0">
      <w:start w:val="1"/>
      <w:numFmt w:val="lowerRoman"/>
      <w:lvlText w:val="%6."/>
      <w:lvlJc w:val="right"/>
      <w:pPr>
        <w:ind w:left="2960" w:hanging="420"/>
      </w:pPr>
    </w:lvl>
    <w:lvl w:ilvl="6" w:tentative="0">
      <w:start w:val="1"/>
      <w:numFmt w:val="decimal"/>
      <w:lvlText w:val="%7."/>
      <w:lvlJc w:val="left"/>
      <w:pPr>
        <w:ind w:left="3380" w:hanging="420"/>
      </w:pPr>
    </w:lvl>
    <w:lvl w:ilvl="7" w:tentative="0">
      <w:start w:val="1"/>
      <w:numFmt w:val="lowerLetter"/>
      <w:lvlText w:val="%8)"/>
      <w:lvlJc w:val="left"/>
      <w:pPr>
        <w:ind w:left="3800" w:hanging="420"/>
      </w:pPr>
    </w:lvl>
    <w:lvl w:ilvl="8" w:tentative="0">
      <w:start w:val="1"/>
      <w:numFmt w:val="lowerRoman"/>
      <w:lvlText w:val="%9."/>
      <w:lvlJc w:val="right"/>
      <w:pPr>
        <w:ind w:left="4220" w:hanging="420"/>
      </w:pPr>
    </w:lvl>
  </w:abstractNum>
  <w:abstractNum w:abstractNumId="16">
    <w:nsid w:val="22961531"/>
    <w:multiLevelType w:val="multilevel"/>
    <w:tmpl w:val="22961531"/>
    <w:lvl w:ilvl="0" w:tentative="0">
      <w:start w:val="1"/>
      <w:numFmt w:val="chineseCounting"/>
      <w:suff w:val="nothing"/>
      <w:lvlText w:val="%1、"/>
      <w:lvlJc w:val="left"/>
      <w:pPr>
        <w:ind w:left="0" w:firstLine="420"/>
      </w:pPr>
      <w:rPr>
        <w:rFonts w:hint="eastAsia" w:ascii="宋体" w:hAnsi="宋体" w:eastAsia="宋体"/>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17">
    <w:nsid w:val="23A93630"/>
    <w:multiLevelType w:val="multilevel"/>
    <w:tmpl w:val="23A93630"/>
    <w:lvl w:ilvl="0" w:tentative="0">
      <w:start w:val="1"/>
      <w:numFmt w:val="decimal"/>
      <w:suff w:val="nothing"/>
      <w:lvlText w:val="%1．"/>
      <w:lvlJc w:val="left"/>
      <w:pPr>
        <w:ind w:left="0" w:firstLine="400"/>
      </w:pPr>
      <w:rPr>
        <w:rFonts w:hint="default" w:ascii="Times New Roman" w:hAnsi="Times New Roman" w:cs="Times New Roman"/>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18">
    <w:nsid w:val="23B51FAA"/>
    <w:multiLevelType w:val="multilevel"/>
    <w:tmpl w:val="23B51FAA"/>
    <w:lvl w:ilvl="0" w:tentative="0">
      <w:start w:val="1"/>
      <w:numFmt w:val="decimal"/>
      <w:lvlText w:val="%1."/>
      <w:lvlJc w:val="left"/>
      <w:pPr>
        <w:ind w:left="844" w:hanging="420"/>
      </w:pPr>
    </w:lvl>
    <w:lvl w:ilvl="1" w:tentative="0">
      <w:start w:val="1"/>
      <w:numFmt w:val="lowerLetter"/>
      <w:lvlText w:val="%2)"/>
      <w:lvlJc w:val="left"/>
      <w:pPr>
        <w:ind w:left="1264" w:hanging="420"/>
      </w:pPr>
    </w:lvl>
    <w:lvl w:ilvl="2" w:tentative="0">
      <w:start w:val="1"/>
      <w:numFmt w:val="lowerRoman"/>
      <w:lvlText w:val="%3."/>
      <w:lvlJc w:val="right"/>
      <w:pPr>
        <w:ind w:left="1684" w:hanging="420"/>
      </w:pPr>
    </w:lvl>
    <w:lvl w:ilvl="3" w:tentative="0">
      <w:start w:val="1"/>
      <w:numFmt w:val="decimal"/>
      <w:lvlText w:val="%4."/>
      <w:lvlJc w:val="left"/>
      <w:pPr>
        <w:ind w:left="2104" w:hanging="420"/>
      </w:pPr>
    </w:lvl>
    <w:lvl w:ilvl="4" w:tentative="0">
      <w:start w:val="1"/>
      <w:numFmt w:val="lowerLetter"/>
      <w:lvlText w:val="%5)"/>
      <w:lvlJc w:val="left"/>
      <w:pPr>
        <w:ind w:left="2524" w:hanging="420"/>
      </w:pPr>
    </w:lvl>
    <w:lvl w:ilvl="5" w:tentative="0">
      <w:start w:val="1"/>
      <w:numFmt w:val="lowerRoman"/>
      <w:lvlText w:val="%6."/>
      <w:lvlJc w:val="right"/>
      <w:pPr>
        <w:ind w:left="2944" w:hanging="420"/>
      </w:pPr>
    </w:lvl>
    <w:lvl w:ilvl="6" w:tentative="0">
      <w:start w:val="1"/>
      <w:numFmt w:val="decimal"/>
      <w:lvlText w:val="%7."/>
      <w:lvlJc w:val="left"/>
      <w:pPr>
        <w:ind w:left="3364" w:hanging="420"/>
      </w:pPr>
    </w:lvl>
    <w:lvl w:ilvl="7" w:tentative="0">
      <w:start w:val="1"/>
      <w:numFmt w:val="lowerLetter"/>
      <w:lvlText w:val="%8)"/>
      <w:lvlJc w:val="left"/>
      <w:pPr>
        <w:ind w:left="3784" w:hanging="420"/>
      </w:pPr>
    </w:lvl>
    <w:lvl w:ilvl="8" w:tentative="0">
      <w:start w:val="1"/>
      <w:numFmt w:val="lowerRoman"/>
      <w:lvlText w:val="%9."/>
      <w:lvlJc w:val="right"/>
      <w:pPr>
        <w:ind w:left="4204" w:hanging="420"/>
      </w:pPr>
    </w:lvl>
  </w:abstractNum>
  <w:abstractNum w:abstractNumId="19">
    <w:nsid w:val="2B521416"/>
    <w:multiLevelType w:val="multilevel"/>
    <w:tmpl w:val="2B521416"/>
    <w:lvl w:ilvl="0" w:tentative="0">
      <w:start w:val="1"/>
      <w:numFmt w:val="decimal"/>
      <w:lvlText w:val="%1."/>
      <w:lvlJc w:val="left"/>
      <w:pPr>
        <w:ind w:left="840" w:hanging="420"/>
      </w:p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20">
    <w:nsid w:val="2DDC1D6D"/>
    <w:multiLevelType w:val="multilevel"/>
    <w:tmpl w:val="2DDC1D6D"/>
    <w:lvl w:ilvl="0" w:tentative="0">
      <w:start w:val="1"/>
      <w:numFmt w:val="decimal"/>
      <w:lvlText w:val="%1."/>
      <w:lvlJc w:val="left"/>
      <w:pPr>
        <w:ind w:left="844" w:hanging="420"/>
      </w:pPr>
    </w:lvl>
    <w:lvl w:ilvl="1" w:tentative="0">
      <w:start w:val="1"/>
      <w:numFmt w:val="lowerLetter"/>
      <w:lvlText w:val="%2)"/>
      <w:lvlJc w:val="left"/>
      <w:pPr>
        <w:ind w:left="1264" w:hanging="420"/>
      </w:pPr>
    </w:lvl>
    <w:lvl w:ilvl="2" w:tentative="0">
      <w:start w:val="1"/>
      <w:numFmt w:val="lowerRoman"/>
      <w:lvlText w:val="%3."/>
      <w:lvlJc w:val="right"/>
      <w:pPr>
        <w:ind w:left="1684" w:hanging="420"/>
      </w:pPr>
    </w:lvl>
    <w:lvl w:ilvl="3" w:tentative="0">
      <w:start w:val="1"/>
      <w:numFmt w:val="decimal"/>
      <w:lvlText w:val="%4."/>
      <w:lvlJc w:val="left"/>
      <w:pPr>
        <w:ind w:left="2104" w:hanging="420"/>
      </w:pPr>
    </w:lvl>
    <w:lvl w:ilvl="4" w:tentative="0">
      <w:start w:val="1"/>
      <w:numFmt w:val="lowerLetter"/>
      <w:lvlText w:val="%5)"/>
      <w:lvlJc w:val="left"/>
      <w:pPr>
        <w:ind w:left="2524" w:hanging="420"/>
      </w:pPr>
    </w:lvl>
    <w:lvl w:ilvl="5" w:tentative="0">
      <w:start w:val="1"/>
      <w:numFmt w:val="lowerRoman"/>
      <w:lvlText w:val="%6."/>
      <w:lvlJc w:val="right"/>
      <w:pPr>
        <w:ind w:left="2944" w:hanging="420"/>
      </w:pPr>
    </w:lvl>
    <w:lvl w:ilvl="6" w:tentative="0">
      <w:start w:val="1"/>
      <w:numFmt w:val="decimal"/>
      <w:lvlText w:val="%7."/>
      <w:lvlJc w:val="left"/>
      <w:pPr>
        <w:ind w:left="3364" w:hanging="420"/>
      </w:pPr>
    </w:lvl>
    <w:lvl w:ilvl="7" w:tentative="0">
      <w:start w:val="1"/>
      <w:numFmt w:val="lowerLetter"/>
      <w:lvlText w:val="%8)"/>
      <w:lvlJc w:val="left"/>
      <w:pPr>
        <w:ind w:left="3784" w:hanging="420"/>
      </w:pPr>
    </w:lvl>
    <w:lvl w:ilvl="8" w:tentative="0">
      <w:start w:val="1"/>
      <w:numFmt w:val="lowerRoman"/>
      <w:lvlText w:val="%9."/>
      <w:lvlJc w:val="right"/>
      <w:pPr>
        <w:ind w:left="4204" w:hanging="420"/>
      </w:pPr>
    </w:lvl>
  </w:abstractNum>
  <w:abstractNum w:abstractNumId="21">
    <w:nsid w:val="2FC8541D"/>
    <w:multiLevelType w:val="multilevel"/>
    <w:tmpl w:val="2FC8541D"/>
    <w:lvl w:ilvl="0" w:tentative="0">
      <w:start w:val="1"/>
      <w:numFmt w:val="chineseCounting"/>
      <w:suff w:val="nothing"/>
      <w:lvlText w:val="（%1）"/>
      <w:lvlJc w:val="left"/>
      <w:pPr>
        <w:ind w:left="0" w:firstLine="420"/>
      </w:pPr>
      <w:rPr>
        <w:rFonts w:hint="eastAsia" w:ascii="宋体" w:hAnsi="宋体" w:eastAsia="宋体"/>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22">
    <w:nsid w:val="335C0F0E"/>
    <w:multiLevelType w:val="multilevel"/>
    <w:tmpl w:val="335C0F0E"/>
    <w:lvl w:ilvl="0" w:tentative="0">
      <w:start w:val="1"/>
      <w:numFmt w:val="decimal"/>
      <w:suff w:val="nothing"/>
      <w:lvlText w:val="%1．"/>
      <w:lvlJc w:val="left"/>
      <w:pPr>
        <w:ind w:left="0" w:firstLine="400"/>
      </w:pPr>
      <w:rPr>
        <w:rFonts w:hint="default" w:ascii="Times New Roman" w:hAnsi="Times New Roman" w:cs="Times New Roman"/>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23">
    <w:nsid w:val="356478AA"/>
    <w:multiLevelType w:val="multilevel"/>
    <w:tmpl w:val="356478AA"/>
    <w:lvl w:ilvl="0" w:tentative="0">
      <w:start w:val="1"/>
      <w:numFmt w:val="chineseCounting"/>
      <w:suff w:val="nothing"/>
      <w:lvlText w:val="（%1）"/>
      <w:lvlJc w:val="left"/>
      <w:pPr>
        <w:ind w:left="0" w:firstLine="420"/>
      </w:pPr>
      <w:rPr>
        <w:rFonts w:hint="eastAsia" w:ascii="宋体" w:hAnsi="宋体" w:eastAsia="宋体"/>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24">
    <w:nsid w:val="397A3D07"/>
    <w:multiLevelType w:val="multilevel"/>
    <w:tmpl w:val="397A3D07"/>
    <w:lvl w:ilvl="0" w:tentative="0">
      <w:start w:val="1"/>
      <w:numFmt w:val="decimal"/>
      <w:lvlText w:val="（%1）"/>
      <w:lvlJc w:val="left"/>
      <w:pPr>
        <w:ind w:left="720" w:hanging="720"/>
      </w:pPr>
      <w:rPr>
        <w:rFonts w:hint="default"/>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5">
    <w:nsid w:val="40D15568"/>
    <w:multiLevelType w:val="multilevel"/>
    <w:tmpl w:val="40D15568"/>
    <w:lvl w:ilvl="0" w:tentative="0">
      <w:start w:val="1"/>
      <w:numFmt w:val="chineseCountingThousand"/>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rPr>
        <w:rFonts w:ascii="宋体" w:hAnsi="宋体" w:eastAsia="宋体" w:cs="宋体"/>
      </w:r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6">
    <w:nsid w:val="531AE820"/>
    <w:multiLevelType w:val="multilevel"/>
    <w:tmpl w:val="531AE820"/>
    <w:lvl w:ilvl="0" w:tentative="0">
      <w:start w:val="1"/>
      <w:numFmt w:val="chineseCounting"/>
      <w:suff w:val="nothing"/>
      <w:lvlText w:val="（%1）"/>
      <w:lvlJc w:val="left"/>
      <w:pPr>
        <w:tabs>
          <w:tab w:val="left" w:pos="0"/>
        </w:tabs>
        <w:ind w:left="0" w:firstLine="420"/>
      </w:pPr>
      <w:rPr>
        <w:rFonts w:hint="eastAsia" w:ascii="宋体" w:hAnsi="宋体" w:eastAsia="宋体" w:cs="宋体"/>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27">
    <w:nsid w:val="55C40B18"/>
    <w:multiLevelType w:val="multilevel"/>
    <w:tmpl w:val="55C40B18"/>
    <w:lvl w:ilvl="0" w:tentative="0">
      <w:start w:val="2"/>
      <w:numFmt w:val="decimal"/>
      <w:lvlText w:val="%1."/>
      <w:lvlJc w:val="left"/>
      <w:pPr>
        <w:ind w:left="780" w:hanging="360"/>
      </w:pPr>
      <w:rPr>
        <w:rFonts w:hint="default" w:cs="宋体"/>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28">
    <w:nsid w:val="5708125A"/>
    <w:multiLevelType w:val="multilevel"/>
    <w:tmpl w:val="5708125A"/>
    <w:lvl w:ilvl="0" w:tentative="0">
      <w:start w:val="1"/>
      <w:numFmt w:val="decimal"/>
      <w:lvlText w:val="%1."/>
      <w:lvlJc w:val="left"/>
      <w:pPr>
        <w:ind w:left="844" w:hanging="420"/>
      </w:pPr>
    </w:lvl>
    <w:lvl w:ilvl="1" w:tentative="0">
      <w:start w:val="1"/>
      <w:numFmt w:val="lowerLetter"/>
      <w:lvlText w:val="%2)"/>
      <w:lvlJc w:val="left"/>
      <w:pPr>
        <w:ind w:left="1264" w:hanging="420"/>
      </w:pPr>
    </w:lvl>
    <w:lvl w:ilvl="2" w:tentative="0">
      <w:start w:val="1"/>
      <w:numFmt w:val="lowerRoman"/>
      <w:lvlText w:val="%3."/>
      <w:lvlJc w:val="right"/>
      <w:pPr>
        <w:ind w:left="1684" w:hanging="420"/>
      </w:pPr>
    </w:lvl>
    <w:lvl w:ilvl="3" w:tentative="0">
      <w:start w:val="1"/>
      <w:numFmt w:val="decimal"/>
      <w:lvlText w:val="%4."/>
      <w:lvlJc w:val="left"/>
      <w:pPr>
        <w:ind w:left="2104" w:hanging="420"/>
      </w:pPr>
    </w:lvl>
    <w:lvl w:ilvl="4" w:tentative="0">
      <w:start w:val="1"/>
      <w:numFmt w:val="lowerLetter"/>
      <w:lvlText w:val="%5)"/>
      <w:lvlJc w:val="left"/>
      <w:pPr>
        <w:ind w:left="2524" w:hanging="420"/>
      </w:pPr>
    </w:lvl>
    <w:lvl w:ilvl="5" w:tentative="0">
      <w:start w:val="1"/>
      <w:numFmt w:val="lowerRoman"/>
      <w:lvlText w:val="%6."/>
      <w:lvlJc w:val="right"/>
      <w:pPr>
        <w:ind w:left="2944" w:hanging="420"/>
      </w:pPr>
    </w:lvl>
    <w:lvl w:ilvl="6" w:tentative="0">
      <w:start w:val="1"/>
      <w:numFmt w:val="decimal"/>
      <w:lvlText w:val="%7."/>
      <w:lvlJc w:val="left"/>
      <w:pPr>
        <w:ind w:left="3364" w:hanging="420"/>
      </w:pPr>
    </w:lvl>
    <w:lvl w:ilvl="7" w:tentative="0">
      <w:start w:val="1"/>
      <w:numFmt w:val="lowerLetter"/>
      <w:lvlText w:val="%8)"/>
      <w:lvlJc w:val="left"/>
      <w:pPr>
        <w:ind w:left="3784" w:hanging="420"/>
      </w:pPr>
    </w:lvl>
    <w:lvl w:ilvl="8" w:tentative="0">
      <w:start w:val="1"/>
      <w:numFmt w:val="lowerRoman"/>
      <w:lvlText w:val="%9."/>
      <w:lvlJc w:val="right"/>
      <w:pPr>
        <w:ind w:left="4204" w:hanging="420"/>
      </w:pPr>
    </w:lvl>
  </w:abstractNum>
  <w:abstractNum w:abstractNumId="29">
    <w:nsid w:val="579E11A2"/>
    <w:multiLevelType w:val="multilevel"/>
    <w:tmpl w:val="579E11A2"/>
    <w:lvl w:ilvl="0" w:tentative="0">
      <w:start w:val="1"/>
      <w:numFmt w:val="chineseCounting"/>
      <w:suff w:val="nothing"/>
      <w:lvlText w:val="（%1）"/>
      <w:lvlJc w:val="left"/>
      <w:pPr>
        <w:ind w:left="0" w:firstLine="420"/>
      </w:pPr>
      <w:rPr>
        <w:rFonts w:hint="eastAsia" w:ascii="宋体" w:hAnsi="宋体" w:eastAsia="宋体"/>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30">
    <w:nsid w:val="5B87B9D3"/>
    <w:multiLevelType w:val="singleLevel"/>
    <w:tmpl w:val="5B87B9D3"/>
    <w:lvl w:ilvl="0" w:tentative="0">
      <w:start w:val="4"/>
      <w:numFmt w:val="chineseCounting"/>
      <w:suff w:val="nothing"/>
      <w:lvlText w:val="（%1）"/>
      <w:lvlJc w:val="left"/>
    </w:lvl>
  </w:abstractNum>
  <w:abstractNum w:abstractNumId="31">
    <w:nsid w:val="68F71E4A"/>
    <w:multiLevelType w:val="multilevel"/>
    <w:tmpl w:val="68F71E4A"/>
    <w:lvl w:ilvl="0" w:tentative="0">
      <w:start w:val="4"/>
      <w:numFmt w:val="chineseCounting"/>
      <w:suff w:val="nothing"/>
      <w:lvlText w:val="（%1）"/>
      <w:lvlJc w:val="left"/>
      <w:pPr>
        <w:ind w:left="0" w:firstLine="420"/>
      </w:pPr>
      <w:rPr>
        <w:rFonts w:hint="eastAsia" w:ascii="宋体" w:hAnsi="宋体" w:eastAsia="宋体"/>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32">
    <w:nsid w:val="6FD4618F"/>
    <w:multiLevelType w:val="multilevel"/>
    <w:tmpl w:val="6FD4618F"/>
    <w:lvl w:ilvl="0" w:tentative="0">
      <w:start w:val="1"/>
      <w:numFmt w:val="chineseCounting"/>
      <w:suff w:val="nothing"/>
      <w:lvlText w:val="（%1）"/>
      <w:lvlJc w:val="left"/>
      <w:pPr>
        <w:ind w:left="0" w:firstLine="420"/>
      </w:pPr>
      <w:rPr>
        <w:rFonts w:hint="eastAsia" w:ascii="宋体" w:hAnsi="宋体" w:eastAsia="宋体"/>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33">
    <w:nsid w:val="6FD57F01"/>
    <w:multiLevelType w:val="multilevel"/>
    <w:tmpl w:val="6FD57F01"/>
    <w:lvl w:ilvl="0" w:tentative="0">
      <w:start w:val="2"/>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4">
    <w:nsid w:val="700C5828"/>
    <w:multiLevelType w:val="multilevel"/>
    <w:tmpl w:val="700C5828"/>
    <w:lvl w:ilvl="0" w:tentative="0">
      <w:start w:val="1"/>
      <w:numFmt w:val="chineseCounting"/>
      <w:suff w:val="nothing"/>
      <w:lvlText w:val="（%1）"/>
      <w:lvlJc w:val="left"/>
      <w:pPr>
        <w:ind w:left="0" w:firstLine="420"/>
      </w:pPr>
      <w:rPr>
        <w:rFonts w:hint="eastAsia" w:ascii="宋体" w:hAnsi="宋体" w:eastAsia="宋体"/>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35">
    <w:nsid w:val="73C633A9"/>
    <w:multiLevelType w:val="multilevel"/>
    <w:tmpl w:val="73C633A9"/>
    <w:lvl w:ilvl="0" w:tentative="0">
      <w:start w:val="1"/>
      <w:numFmt w:val="chineseCounting"/>
      <w:suff w:val="nothing"/>
      <w:lvlText w:val="（%1）"/>
      <w:lvlJc w:val="left"/>
      <w:pPr>
        <w:ind w:left="0" w:firstLine="420"/>
      </w:pPr>
      <w:rPr>
        <w:rFonts w:hint="eastAsia" w:ascii="宋体" w:hAnsi="宋体" w:eastAsia="宋体"/>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36">
    <w:nsid w:val="78117D03"/>
    <w:multiLevelType w:val="multilevel"/>
    <w:tmpl w:val="78117D03"/>
    <w:lvl w:ilvl="0" w:tentative="0">
      <w:start w:val="1"/>
      <w:numFmt w:val="chineseCounting"/>
      <w:suff w:val="nothing"/>
      <w:lvlText w:val="（%1）"/>
      <w:lvlJc w:val="left"/>
      <w:pPr>
        <w:ind w:left="0" w:firstLine="420"/>
      </w:pPr>
      <w:rPr>
        <w:rFonts w:hint="eastAsia" w:ascii="宋体" w:hAnsi="宋体" w:eastAsia="宋体"/>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37">
    <w:nsid w:val="7A820FCE"/>
    <w:multiLevelType w:val="multilevel"/>
    <w:tmpl w:val="7A820FCE"/>
    <w:lvl w:ilvl="0" w:tentative="0">
      <w:start w:val="5"/>
      <w:numFmt w:val="japaneseCounting"/>
      <w:lvlText w:val="（%1）"/>
      <w:lvlJc w:val="left"/>
      <w:pPr>
        <w:ind w:left="1144" w:hanging="720"/>
      </w:pPr>
      <w:rPr>
        <w:rFonts w:hint="default" w:cs="宋体"/>
      </w:rPr>
    </w:lvl>
    <w:lvl w:ilvl="1" w:tentative="0">
      <w:start w:val="1"/>
      <w:numFmt w:val="lowerLetter"/>
      <w:lvlText w:val="%2)"/>
      <w:lvlJc w:val="left"/>
      <w:pPr>
        <w:ind w:left="1264" w:hanging="420"/>
      </w:pPr>
    </w:lvl>
    <w:lvl w:ilvl="2" w:tentative="0">
      <w:start w:val="1"/>
      <w:numFmt w:val="lowerRoman"/>
      <w:lvlText w:val="%3."/>
      <w:lvlJc w:val="right"/>
      <w:pPr>
        <w:ind w:left="1684" w:hanging="420"/>
      </w:pPr>
    </w:lvl>
    <w:lvl w:ilvl="3" w:tentative="0">
      <w:start w:val="1"/>
      <w:numFmt w:val="decimal"/>
      <w:lvlText w:val="%4."/>
      <w:lvlJc w:val="left"/>
      <w:pPr>
        <w:ind w:left="2104" w:hanging="420"/>
      </w:pPr>
    </w:lvl>
    <w:lvl w:ilvl="4" w:tentative="0">
      <w:start w:val="1"/>
      <w:numFmt w:val="lowerLetter"/>
      <w:lvlText w:val="%5)"/>
      <w:lvlJc w:val="left"/>
      <w:pPr>
        <w:ind w:left="2524" w:hanging="420"/>
      </w:pPr>
    </w:lvl>
    <w:lvl w:ilvl="5" w:tentative="0">
      <w:start w:val="1"/>
      <w:numFmt w:val="lowerRoman"/>
      <w:lvlText w:val="%6."/>
      <w:lvlJc w:val="right"/>
      <w:pPr>
        <w:ind w:left="2944" w:hanging="420"/>
      </w:pPr>
    </w:lvl>
    <w:lvl w:ilvl="6" w:tentative="0">
      <w:start w:val="1"/>
      <w:numFmt w:val="decimal"/>
      <w:lvlText w:val="%7."/>
      <w:lvlJc w:val="left"/>
      <w:pPr>
        <w:ind w:left="3364" w:hanging="420"/>
      </w:pPr>
    </w:lvl>
    <w:lvl w:ilvl="7" w:tentative="0">
      <w:start w:val="1"/>
      <w:numFmt w:val="lowerLetter"/>
      <w:lvlText w:val="%8)"/>
      <w:lvlJc w:val="left"/>
      <w:pPr>
        <w:ind w:left="3784" w:hanging="420"/>
      </w:pPr>
    </w:lvl>
    <w:lvl w:ilvl="8" w:tentative="0">
      <w:start w:val="1"/>
      <w:numFmt w:val="lowerRoman"/>
      <w:lvlText w:val="%9."/>
      <w:lvlJc w:val="right"/>
      <w:pPr>
        <w:ind w:left="4204" w:hanging="420"/>
      </w:pPr>
    </w:lvl>
  </w:abstractNum>
  <w:abstractNum w:abstractNumId="38">
    <w:nsid w:val="7FBE672B"/>
    <w:multiLevelType w:val="multilevel"/>
    <w:tmpl w:val="7FBE672B"/>
    <w:lvl w:ilvl="0" w:tentative="0">
      <w:start w:val="1"/>
      <w:numFmt w:val="chineseCounting"/>
      <w:suff w:val="nothing"/>
      <w:lvlText w:val="（%1）"/>
      <w:lvlJc w:val="left"/>
      <w:pPr>
        <w:ind w:left="0" w:firstLine="420"/>
      </w:pPr>
      <w:rPr>
        <w:rFonts w:hint="eastAsia" w:ascii="宋体" w:hAnsi="宋体" w:eastAsia="宋体"/>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num w:numId="1">
    <w:abstractNumId w:val="25"/>
  </w:num>
  <w:num w:numId="2">
    <w:abstractNumId w:val="30"/>
  </w:num>
  <w:num w:numId="3">
    <w:abstractNumId w:val="33"/>
  </w:num>
  <w:num w:numId="4">
    <w:abstractNumId w:val="24"/>
  </w:num>
  <w:num w:numId="5">
    <w:abstractNumId w:val="9"/>
  </w:num>
  <w:num w:numId="6">
    <w:abstractNumId w:val="6"/>
  </w:num>
  <w:num w:numId="7">
    <w:abstractNumId w:val="19"/>
  </w:num>
  <w:num w:numId="8">
    <w:abstractNumId w:val="8"/>
  </w:num>
  <w:num w:numId="9">
    <w:abstractNumId w:val="18"/>
  </w:num>
  <w:num w:numId="10">
    <w:abstractNumId w:val="20"/>
  </w:num>
  <w:num w:numId="11">
    <w:abstractNumId w:val="37"/>
  </w:num>
  <w:num w:numId="12">
    <w:abstractNumId w:val="12"/>
  </w:num>
  <w:num w:numId="13">
    <w:abstractNumId w:val="27"/>
  </w:num>
  <w:num w:numId="14">
    <w:abstractNumId w:val="28"/>
  </w:num>
  <w:num w:numId="15">
    <w:abstractNumId w:val="15"/>
  </w:num>
  <w:num w:numId="16">
    <w:abstractNumId w:val="2"/>
  </w:num>
  <w:num w:numId="17">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4"/>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1"/>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31"/>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4"/>
  </w:num>
  <w:num w:numId="34">
    <w:abstractNumId w:val="1"/>
  </w:num>
  <w:num w:numId="35">
    <w:abstractNumId w:val="0"/>
  </w:num>
  <w:num w:numId="36">
    <w:abstractNumId w:val="26"/>
  </w:num>
  <w:num w:numId="37">
    <w:abstractNumId w:val="3"/>
  </w:num>
  <w:num w:numId="38">
    <w:abstractNumId w:val="13"/>
  </w:num>
  <w:num w:numId="3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bordersDoNotSurroundHeader w:val="1"/>
  <w:bordersDoNotSurroundFooter w:val="1"/>
  <w:attachedTemplate r:id="rId1"/>
  <w:documentProtection w:edit="forms" w:enforcement="0"/>
  <w:defaultTabStop w:val="420"/>
  <w:drawingGridHorizontalSpacing w:val="0"/>
  <w:drawingGridVerticalSpacing w:val="156"/>
  <w:noPunctuationKerning w:val="1"/>
  <w:characterSpacingControl w:val="compressPunctuation"/>
  <w:doNotValidateAgainstSchema/>
  <w:doNotDemarcateInvalidXml/>
  <w:hdrShapeDefaults>
    <o:shapelayout v:ext="edit">
      <o:idmap v:ext="edit" data="3,4"/>
    </o:shapelayout>
  </w:hdrShapeDefaults>
  <w:compat>
    <w:spaceForUL/>
    <w:balanceSingleByteDoubleByteWidth/>
    <w:doNotLeaveBackslashAlone/>
    <w:ulTrailSpace/>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
  <w:rsids>
    <w:rsidRoot w:val="00172A27"/>
    <w:rsid w:val="0000225B"/>
    <w:rsid w:val="000074CB"/>
    <w:rsid w:val="00016DEF"/>
    <w:rsid w:val="0003494A"/>
    <w:rsid w:val="00036C6B"/>
    <w:rsid w:val="00041CE3"/>
    <w:rsid w:val="0004400E"/>
    <w:rsid w:val="00060C68"/>
    <w:rsid w:val="00070CC0"/>
    <w:rsid w:val="0007142C"/>
    <w:rsid w:val="000A03E4"/>
    <w:rsid w:val="000A191B"/>
    <w:rsid w:val="000B0053"/>
    <w:rsid w:val="000B1CF9"/>
    <w:rsid w:val="000B1EBB"/>
    <w:rsid w:val="000D706F"/>
    <w:rsid w:val="000E1225"/>
    <w:rsid w:val="000E251A"/>
    <w:rsid w:val="00102B1D"/>
    <w:rsid w:val="00104207"/>
    <w:rsid w:val="00106F8A"/>
    <w:rsid w:val="00130E15"/>
    <w:rsid w:val="0013535F"/>
    <w:rsid w:val="00152C9F"/>
    <w:rsid w:val="00156B28"/>
    <w:rsid w:val="00163E6B"/>
    <w:rsid w:val="0016452E"/>
    <w:rsid w:val="001645E5"/>
    <w:rsid w:val="00165A5F"/>
    <w:rsid w:val="0017046E"/>
    <w:rsid w:val="00171512"/>
    <w:rsid w:val="00172A27"/>
    <w:rsid w:val="00172CD3"/>
    <w:rsid w:val="00174483"/>
    <w:rsid w:val="0019157B"/>
    <w:rsid w:val="00193263"/>
    <w:rsid w:val="001934D8"/>
    <w:rsid w:val="00194038"/>
    <w:rsid w:val="00197B45"/>
    <w:rsid w:val="001A446B"/>
    <w:rsid w:val="001B1761"/>
    <w:rsid w:val="001B2DF4"/>
    <w:rsid w:val="001B3F9D"/>
    <w:rsid w:val="001C0514"/>
    <w:rsid w:val="001D1ADF"/>
    <w:rsid w:val="001D237B"/>
    <w:rsid w:val="001D566A"/>
    <w:rsid w:val="001D7128"/>
    <w:rsid w:val="001E38D0"/>
    <w:rsid w:val="001E3F30"/>
    <w:rsid w:val="001F29C9"/>
    <w:rsid w:val="001F75CF"/>
    <w:rsid w:val="00210B24"/>
    <w:rsid w:val="00211131"/>
    <w:rsid w:val="00223672"/>
    <w:rsid w:val="00223734"/>
    <w:rsid w:val="002244F2"/>
    <w:rsid w:val="002256AF"/>
    <w:rsid w:val="002325B7"/>
    <w:rsid w:val="00237C4A"/>
    <w:rsid w:val="00242BAA"/>
    <w:rsid w:val="002470B8"/>
    <w:rsid w:val="002479C3"/>
    <w:rsid w:val="0027745F"/>
    <w:rsid w:val="002952E7"/>
    <w:rsid w:val="002A0433"/>
    <w:rsid w:val="002B065D"/>
    <w:rsid w:val="002B6E5C"/>
    <w:rsid w:val="002C1918"/>
    <w:rsid w:val="002D09F6"/>
    <w:rsid w:val="002D235A"/>
    <w:rsid w:val="002E15F9"/>
    <w:rsid w:val="002E6900"/>
    <w:rsid w:val="00307948"/>
    <w:rsid w:val="00320468"/>
    <w:rsid w:val="003228FE"/>
    <w:rsid w:val="00331D83"/>
    <w:rsid w:val="0034199E"/>
    <w:rsid w:val="0035187C"/>
    <w:rsid w:val="00361973"/>
    <w:rsid w:val="00367EA2"/>
    <w:rsid w:val="00375348"/>
    <w:rsid w:val="0038273A"/>
    <w:rsid w:val="00384A29"/>
    <w:rsid w:val="003A539B"/>
    <w:rsid w:val="003A7245"/>
    <w:rsid w:val="003B0D21"/>
    <w:rsid w:val="003B2DFE"/>
    <w:rsid w:val="003B3810"/>
    <w:rsid w:val="003B5FDA"/>
    <w:rsid w:val="003B6960"/>
    <w:rsid w:val="003B72A8"/>
    <w:rsid w:val="003D39F2"/>
    <w:rsid w:val="003E5AF8"/>
    <w:rsid w:val="003F047E"/>
    <w:rsid w:val="003F357F"/>
    <w:rsid w:val="003F5069"/>
    <w:rsid w:val="004039EF"/>
    <w:rsid w:val="00416162"/>
    <w:rsid w:val="00422904"/>
    <w:rsid w:val="00427991"/>
    <w:rsid w:val="004310E7"/>
    <w:rsid w:val="004316D0"/>
    <w:rsid w:val="00435D3F"/>
    <w:rsid w:val="0044304F"/>
    <w:rsid w:val="004431A1"/>
    <w:rsid w:val="004514C8"/>
    <w:rsid w:val="00451910"/>
    <w:rsid w:val="00451A6B"/>
    <w:rsid w:val="004532E9"/>
    <w:rsid w:val="00454783"/>
    <w:rsid w:val="00493C19"/>
    <w:rsid w:val="00494B69"/>
    <w:rsid w:val="00496C62"/>
    <w:rsid w:val="004A46C8"/>
    <w:rsid w:val="004B15EB"/>
    <w:rsid w:val="004C06C8"/>
    <w:rsid w:val="004C4787"/>
    <w:rsid w:val="004C4B64"/>
    <w:rsid w:val="004D66F1"/>
    <w:rsid w:val="004D6A45"/>
    <w:rsid w:val="004D704D"/>
    <w:rsid w:val="004D7543"/>
    <w:rsid w:val="004E0BEC"/>
    <w:rsid w:val="004E2F89"/>
    <w:rsid w:val="004E5D5E"/>
    <w:rsid w:val="004F3050"/>
    <w:rsid w:val="004F3D2D"/>
    <w:rsid w:val="005056AF"/>
    <w:rsid w:val="00506CCF"/>
    <w:rsid w:val="0051217C"/>
    <w:rsid w:val="00514F54"/>
    <w:rsid w:val="00523DCE"/>
    <w:rsid w:val="005400CC"/>
    <w:rsid w:val="005477C0"/>
    <w:rsid w:val="00553C91"/>
    <w:rsid w:val="00555622"/>
    <w:rsid w:val="0055632F"/>
    <w:rsid w:val="0056715F"/>
    <w:rsid w:val="00567FC0"/>
    <w:rsid w:val="005819B9"/>
    <w:rsid w:val="00581BD2"/>
    <w:rsid w:val="0058288B"/>
    <w:rsid w:val="00587CF5"/>
    <w:rsid w:val="005A3ADE"/>
    <w:rsid w:val="005A7AAD"/>
    <w:rsid w:val="005B0EBD"/>
    <w:rsid w:val="005B1F0B"/>
    <w:rsid w:val="005B22CD"/>
    <w:rsid w:val="005D0E2E"/>
    <w:rsid w:val="005D1025"/>
    <w:rsid w:val="005E5D3A"/>
    <w:rsid w:val="005E5EA5"/>
    <w:rsid w:val="005E7CF4"/>
    <w:rsid w:val="005F1215"/>
    <w:rsid w:val="00610019"/>
    <w:rsid w:val="006154E3"/>
    <w:rsid w:val="00621A1C"/>
    <w:rsid w:val="00625776"/>
    <w:rsid w:val="00644885"/>
    <w:rsid w:val="006570EB"/>
    <w:rsid w:val="00662E82"/>
    <w:rsid w:val="00664AE5"/>
    <w:rsid w:val="00671719"/>
    <w:rsid w:val="006743C1"/>
    <w:rsid w:val="00676A98"/>
    <w:rsid w:val="00681C0C"/>
    <w:rsid w:val="00684F88"/>
    <w:rsid w:val="006A2B09"/>
    <w:rsid w:val="006A677E"/>
    <w:rsid w:val="006A718F"/>
    <w:rsid w:val="006B4663"/>
    <w:rsid w:val="006C103F"/>
    <w:rsid w:val="006C21C7"/>
    <w:rsid w:val="006C64B9"/>
    <w:rsid w:val="006C7B62"/>
    <w:rsid w:val="006E4BB6"/>
    <w:rsid w:val="006E4CDD"/>
    <w:rsid w:val="006E51ED"/>
    <w:rsid w:val="006E63CC"/>
    <w:rsid w:val="006F6194"/>
    <w:rsid w:val="00700EDD"/>
    <w:rsid w:val="00702CDC"/>
    <w:rsid w:val="00707360"/>
    <w:rsid w:val="00721B8F"/>
    <w:rsid w:val="00723931"/>
    <w:rsid w:val="007604FB"/>
    <w:rsid w:val="00763431"/>
    <w:rsid w:val="00766E4D"/>
    <w:rsid w:val="007672AB"/>
    <w:rsid w:val="00783437"/>
    <w:rsid w:val="00783867"/>
    <w:rsid w:val="00786111"/>
    <w:rsid w:val="00793E73"/>
    <w:rsid w:val="007A110D"/>
    <w:rsid w:val="007A3E6C"/>
    <w:rsid w:val="007C0135"/>
    <w:rsid w:val="007C1F4A"/>
    <w:rsid w:val="007C211A"/>
    <w:rsid w:val="007D1D05"/>
    <w:rsid w:val="007D1EED"/>
    <w:rsid w:val="007E0AA6"/>
    <w:rsid w:val="007E0BB7"/>
    <w:rsid w:val="007E1CB3"/>
    <w:rsid w:val="007E43C7"/>
    <w:rsid w:val="007E46A6"/>
    <w:rsid w:val="007E7822"/>
    <w:rsid w:val="007F219A"/>
    <w:rsid w:val="007F388A"/>
    <w:rsid w:val="007F3DDB"/>
    <w:rsid w:val="00816222"/>
    <w:rsid w:val="00826FEE"/>
    <w:rsid w:val="008625D8"/>
    <w:rsid w:val="008639A4"/>
    <w:rsid w:val="008665BF"/>
    <w:rsid w:val="008700BB"/>
    <w:rsid w:val="008757F6"/>
    <w:rsid w:val="00881607"/>
    <w:rsid w:val="008828B3"/>
    <w:rsid w:val="00883312"/>
    <w:rsid w:val="00883C12"/>
    <w:rsid w:val="0089028C"/>
    <w:rsid w:val="00890D50"/>
    <w:rsid w:val="00895CC8"/>
    <w:rsid w:val="008B045C"/>
    <w:rsid w:val="008B29AC"/>
    <w:rsid w:val="008B4135"/>
    <w:rsid w:val="008B648E"/>
    <w:rsid w:val="008C2A67"/>
    <w:rsid w:val="008C324B"/>
    <w:rsid w:val="008C4802"/>
    <w:rsid w:val="008D1673"/>
    <w:rsid w:val="008D554B"/>
    <w:rsid w:val="008E61A5"/>
    <w:rsid w:val="008F0AF2"/>
    <w:rsid w:val="008F4186"/>
    <w:rsid w:val="008F46F8"/>
    <w:rsid w:val="008F4E66"/>
    <w:rsid w:val="008F73FD"/>
    <w:rsid w:val="009011C0"/>
    <w:rsid w:val="0091212F"/>
    <w:rsid w:val="009138EE"/>
    <w:rsid w:val="00925573"/>
    <w:rsid w:val="00926EF6"/>
    <w:rsid w:val="00940D7C"/>
    <w:rsid w:val="00952DC1"/>
    <w:rsid w:val="0095704C"/>
    <w:rsid w:val="00984B2D"/>
    <w:rsid w:val="009858B4"/>
    <w:rsid w:val="00994D9E"/>
    <w:rsid w:val="009A1F15"/>
    <w:rsid w:val="009B1178"/>
    <w:rsid w:val="009C42ED"/>
    <w:rsid w:val="009C4710"/>
    <w:rsid w:val="009D4471"/>
    <w:rsid w:val="009D5443"/>
    <w:rsid w:val="009E4B6C"/>
    <w:rsid w:val="009F27CB"/>
    <w:rsid w:val="00A02EC9"/>
    <w:rsid w:val="00A05D0A"/>
    <w:rsid w:val="00A06CC7"/>
    <w:rsid w:val="00A12D67"/>
    <w:rsid w:val="00A13E04"/>
    <w:rsid w:val="00A16AC6"/>
    <w:rsid w:val="00A20A90"/>
    <w:rsid w:val="00A377BE"/>
    <w:rsid w:val="00A37E45"/>
    <w:rsid w:val="00A4139F"/>
    <w:rsid w:val="00A53627"/>
    <w:rsid w:val="00A55ABC"/>
    <w:rsid w:val="00A6012C"/>
    <w:rsid w:val="00A630D8"/>
    <w:rsid w:val="00A649D3"/>
    <w:rsid w:val="00A661D7"/>
    <w:rsid w:val="00A720AA"/>
    <w:rsid w:val="00A753E0"/>
    <w:rsid w:val="00A852DE"/>
    <w:rsid w:val="00A967BC"/>
    <w:rsid w:val="00AB38E1"/>
    <w:rsid w:val="00AD19B0"/>
    <w:rsid w:val="00AD7757"/>
    <w:rsid w:val="00AE4F4F"/>
    <w:rsid w:val="00AE6EBA"/>
    <w:rsid w:val="00AF7962"/>
    <w:rsid w:val="00B015B4"/>
    <w:rsid w:val="00B06516"/>
    <w:rsid w:val="00B1085F"/>
    <w:rsid w:val="00B122E9"/>
    <w:rsid w:val="00B23C5F"/>
    <w:rsid w:val="00B23E6A"/>
    <w:rsid w:val="00B35785"/>
    <w:rsid w:val="00B42EBD"/>
    <w:rsid w:val="00B52F4D"/>
    <w:rsid w:val="00B56811"/>
    <w:rsid w:val="00B57765"/>
    <w:rsid w:val="00B6032F"/>
    <w:rsid w:val="00B728F3"/>
    <w:rsid w:val="00B77569"/>
    <w:rsid w:val="00B9230B"/>
    <w:rsid w:val="00BB0B22"/>
    <w:rsid w:val="00BB350D"/>
    <w:rsid w:val="00BB66A3"/>
    <w:rsid w:val="00BC27CF"/>
    <w:rsid w:val="00BD4DA8"/>
    <w:rsid w:val="00BE66F2"/>
    <w:rsid w:val="00BE78DA"/>
    <w:rsid w:val="00BF46BC"/>
    <w:rsid w:val="00BF4D3F"/>
    <w:rsid w:val="00BF6CC1"/>
    <w:rsid w:val="00C0199E"/>
    <w:rsid w:val="00C036B0"/>
    <w:rsid w:val="00C050D1"/>
    <w:rsid w:val="00C16230"/>
    <w:rsid w:val="00C16E2B"/>
    <w:rsid w:val="00C23766"/>
    <w:rsid w:val="00C27E87"/>
    <w:rsid w:val="00C32A88"/>
    <w:rsid w:val="00C41762"/>
    <w:rsid w:val="00C655F7"/>
    <w:rsid w:val="00C72518"/>
    <w:rsid w:val="00C72CF4"/>
    <w:rsid w:val="00C77A74"/>
    <w:rsid w:val="00C8005D"/>
    <w:rsid w:val="00C849A4"/>
    <w:rsid w:val="00C86741"/>
    <w:rsid w:val="00C93021"/>
    <w:rsid w:val="00CA1308"/>
    <w:rsid w:val="00CA3121"/>
    <w:rsid w:val="00CA4667"/>
    <w:rsid w:val="00CB68D3"/>
    <w:rsid w:val="00CC65F7"/>
    <w:rsid w:val="00CC6CB3"/>
    <w:rsid w:val="00CD2D0D"/>
    <w:rsid w:val="00CD46C1"/>
    <w:rsid w:val="00CE784C"/>
    <w:rsid w:val="00D0465E"/>
    <w:rsid w:val="00D10AE7"/>
    <w:rsid w:val="00D2583D"/>
    <w:rsid w:val="00D26643"/>
    <w:rsid w:val="00D37D6C"/>
    <w:rsid w:val="00D46723"/>
    <w:rsid w:val="00D46C85"/>
    <w:rsid w:val="00D473AF"/>
    <w:rsid w:val="00D5034B"/>
    <w:rsid w:val="00D5146E"/>
    <w:rsid w:val="00D52EBC"/>
    <w:rsid w:val="00D55C4E"/>
    <w:rsid w:val="00D72414"/>
    <w:rsid w:val="00D81A70"/>
    <w:rsid w:val="00D849A7"/>
    <w:rsid w:val="00D92EDE"/>
    <w:rsid w:val="00DA3FA9"/>
    <w:rsid w:val="00DB2635"/>
    <w:rsid w:val="00DB5D8B"/>
    <w:rsid w:val="00DB735D"/>
    <w:rsid w:val="00DC4D62"/>
    <w:rsid w:val="00DD29BD"/>
    <w:rsid w:val="00DE27A1"/>
    <w:rsid w:val="00DE3A2C"/>
    <w:rsid w:val="00DE4189"/>
    <w:rsid w:val="00DE572F"/>
    <w:rsid w:val="00DE5CC6"/>
    <w:rsid w:val="00DF4E0D"/>
    <w:rsid w:val="00E02B43"/>
    <w:rsid w:val="00E1035F"/>
    <w:rsid w:val="00E10BDC"/>
    <w:rsid w:val="00E15330"/>
    <w:rsid w:val="00E20D39"/>
    <w:rsid w:val="00E2281C"/>
    <w:rsid w:val="00E37956"/>
    <w:rsid w:val="00E43308"/>
    <w:rsid w:val="00E63ACF"/>
    <w:rsid w:val="00E63DF1"/>
    <w:rsid w:val="00E63F14"/>
    <w:rsid w:val="00E64867"/>
    <w:rsid w:val="00E85C02"/>
    <w:rsid w:val="00E925FC"/>
    <w:rsid w:val="00EA601B"/>
    <w:rsid w:val="00EB6780"/>
    <w:rsid w:val="00EC4B8A"/>
    <w:rsid w:val="00ED2623"/>
    <w:rsid w:val="00ED71EA"/>
    <w:rsid w:val="00ED7EE4"/>
    <w:rsid w:val="00EF07DF"/>
    <w:rsid w:val="00F32D6F"/>
    <w:rsid w:val="00F34E58"/>
    <w:rsid w:val="00F35C42"/>
    <w:rsid w:val="00F35EA2"/>
    <w:rsid w:val="00F5506D"/>
    <w:rsid w:val="00F62A37"/>
    <w:rsid w:val="00F659C2"/>
    <w:rsid w:val="00F661B5"/>
    <w:rsid w:val="00F81D67"/>
    <w:rsid w:val="00F85512"/>
    <w:rsid w:val="00F94B26"/>
    <w:rsid w:val="00FA5255"/>
    <w:rsid w:val="00FA581E"/>
    <w:rsid w:val="00FA5E16"/>
    <w:rsid w:val="00FB0DC4"/>
    <w:rsid w:val="00FD0659"/>
    <w:rsid w:val="00FD1AE6"/>
    <w:rsid w:val="00FD4172"/>
    <w:rsid w:val="00FD4749"/>
    <w:rsid w:val="00FD73AF"/>
    <w:rsid w:val="00FE6091"/>
    <w:rsid w:val="00FF2484"/>
    <w:rsid w:val="00FF6507"/>
    <w:rsid w:val="01560D55"/>
    <w:rsid w:val="01D10951"/>
    <w:rsid w:val="01FB1F32"/>
    <w:rsid w:val="02C57AC3"/>
    <w:rsid w:val="038269B5"/>
    <w:rsid w:val="04CD156A"/>
    <w:rsid w:val="09AC6127"/>
    <w:rsid w:val="0F0043BB"/>
    <w:rsid w:val="13842138"/>
    <w:rsid w:val="155D0FAE"/>
    <w:rsid w:val="194950A1"/>
    <w:rsid w:val="1B8B2D6E"/>
    <w:rsid w:val="1D4B4659"/>
    <w:rsid w:val="1DA941EB"/>
    <w:rsid w:val="21AE43C0"/>
    <w:rsid w:val="24B6088C"/>
    <w:rsid w:val="27660D0E"/>
    <w:rsid w:val="28FB441D"/>
    <w:rsid w:val="29E37A3B"/>
    <w:rsid w:val="2CF11704"/>
    <w:rsid w:val="2D45719C"/>
    <w:rsid w:val="2DEC75F3"/>
    <w:rsid w:val="2E0B2CD2"/>
    <w:rsid w:val="30E90FE8"/>
    <w:rsid w:val="32C55323"/>
    <w:rsid w:val="35892A55"/>
    <w:rsid w:val="3837386E"/>
    <w:rsid w:val="3BA24BB0"/>
    <w:rsid w:val="3FCB3B1C"/>
    <w:rsid w:val="433D1B9E"/>
    <w:rsid w:val="45111D82"/>
    <w:rsid w:val="481B099C"/>
    <w:rsid w:val="4ACA4F6B"/>
    <w:rsid w:val="50DD7DA0"/>
    <w:rsid w:val="510826B2"/>
    <w:rsid w:val="52EC289B"/>
    <w:rsid w:val="5A726ACA"/>
    <w:rsid w:val="5BE91D19"/>
    <w:rsid w:val="5CEF711D"/>
    <w:rsid w:val="5E7332FD"/>
    <w:rsid w:val="62C16DB1"/>
    <w:rsid w:val="64EA430A"/>
    <w:rsid w:val="6BB97DF1"/>
    <w:rsid w:val="6BE12EF7"/>
    <w:rsid w:val="6C361A89"/>
    <w:rsid w:val="6C6A476A"/>
    <w:rsid w:val="6CFB1020"/>
    <w:rsid w:val="6E05628E"/>
    <w:rsid w:val="6F434255"/>
    <w:rsid w:val="73A56D9D"/>
    <w:rsid w:val="73E23960"/>
    <w:rsid w:val="78E860BE"/>
    <w:rsid w:val="7B69328D"/>
    <w:rsid w:val="7C1927D1"/>
    <w:rsid w:val="7F1F50C3"/>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9" w:name="heading 2" w:locked="1"/>
    <w:lsdException w:qFormat="1" w:uiPriority="9" w:name="heading 3" w:locked="1"/>
    <w:lsdException w:qFormat="1" w:uiPriority="9" w:name="heading 4" w:locked="1"/>
    <w:lsdException w:qFormat="1" w:uiPriority="9" w:name="heading 5" w:locked="1"/>
    <w:lsdException w:qFormat="1" w:uiPriority="9" w:name="heading 6" w:locked="1"/>
    <w:lsdException w:qFormat="1" w:uiPriority="9" w:name="heading 7" w:locked="1"/>
    <w:lsdException w:qFormat="1" w:uiPriority="9" w:name="heading 8" w:locked="1"/>
    <w:lsdException w:qFormat="1" w:uiPriority="9" w:name="heading 9" w:locked="1"/>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ocked="1"/>
    <w:lsdException w:uiPriority="39" w:name="toc 2" w:locked="1"/>
    <w:lsdException w:uiPriority="39" w:name="toc 3" w:locked="1"/>
    <w:lsdException w:uiPriority="39" w:name="toc 4" w:locked="1"/>
    <w:lsdException w:uiPriority="39" w:name="toc 5" w:locked="1"/>
    <w:lsdException w:uiPriority="39" w:name="toc 6" w:locked="1"/>
    <w:lsdException w:uiPriority="39" w:name="toc 7" w:locked="1"/>
    <w:lsdException w:uiPriority="39" w:name="toc 8" w:locked="1"/>
    <w:lsdException w:uiPriority="39" w:name="toc 9" w:locked="1"/>
    <w:lsdException w:uiPriority="0" w:name="Normal Indent"/>
    <w:lsdException w:qFormat="1" w:unhideWhenUsed="0" w:uiPriority="0" w:semiHidden="0" w:name="footnote text"/>
    <w:lsdException w:qFormat="1" w:unhideWhenUsed="0" w:uiPriority="99" w:name="annotation text"/>
    <w:lsdException w:qFormat="1" w:unhideWhenUsed="0" w:uiPriority="99" w:semiHidden="0" w:name="header"/>
    <w:lsdException w:qFormat="1" w:unhideWhenUsed="0" w:uiPriority="99" w:semiHidden="0" w:name="footer"/>
    <w:lsdException w:uiPriority="0" w:name="index heading"/>
    <w:lsdException w:qFormat="1" w:uiPriority="35" w:name="caption" w:locked="1"/>
    <w:lsdException w:uiPriority="0" w:name="table of figures"/>
    <w:lsdException w:uiPriority="0" w:name="envelope address"/>
    <w:lsdException w:uiPriority="0" w:name="envelope return"/>
    <w:lsdException w:qFormat="1" w:unhideWhenUsed="0" w:uiPriority="0" w:semiHidden="0" w:name="footnote reference"/>
    <w:lsdException w:qFormat="1" w:unhideWhenUsed="0" w:uiPriority="99" w:name="annotation reference"/>
    <w:lsdException w:uiPriority="0" w:name="line number"/>
    <w:lsdException w:qFormat="1" w:unhideWhenUsed="0" w:uiPriority="99" w:semiHidden="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99"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99"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99" w:semiHidden="0" w:name="Hyperlink"/>
    <w:lsdException w:uiPriority="0" w:name="FollowedHyperlink"/>
    <w:lsdException w:qFormat="1" w:unhideWhenUsed="0" w:uiPriority="22" w:semiHidden="0" w:name="Strong" w:locked="1"/>
    <w:lsdException w:qFormat="1" w:unhideWhenUsed="0" w:uiPriority="20" w:semiHidden="0" w:name="Emphasis" w:locked="1"/>
    <w:lsdException w:qFormat="1" w:unhideWhenUsed="0" w:uiPriority="99" w:name="Document Map"/>
    <w:lsdException w:uiPriority="0" w:name="Plain Text"/>
    <w:lsdException w:uiPriority="0" w:name="E-mail Signature"/>
    <w:lsdException w:qFormat="1"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paragraph" w:styleId="2">
    <w:name w:val="heading 1"/>
    <w:basedOn w:val="1"/>
    <w:next w:val="1"/>
    <w:link w:val="24"/>
    <w:qFormat/>
    <w:uiPriority w:val="99"/>
    <w:pPr>
      <w:keepNext/>
      <w:keepLines/>
      <w:spacing w:line="520" w:lineRule="exact"/>
      <w:outlineLvl w:val="0"/>
    </w:pPr>
    <w:rPr>
      <w:rFonts w:cs="Times New Roman"/>
      <w:b/>
      <w:bCs/>
      <w:kern w:val="44"/>
      <w:sz w:val="44"/>
      <w:szCs w:val="44"/>
    </w:rPr>
  </w:style>
  <w:style w:type="character" w:default="1" w:styleId="14">
    <w:name w:val="Default Paragraph Font"/>
    <w:semiHidden/>
    <w:unhideWhenUsed/>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3">
    <w:name w:val="Document Map"/>
    <w:basedOn w:val="1"/>
    <w:link w:val="27"/>
    <w:semiHidden/>
    <w:qFormat/>
    <w:uiPriority w:val="99"/>
    <w:rPr>
      <w:rFonts w:ascii="宋体" w:cs="Times New Roman"/>
      <w:kern w:val="0"/>
      <w:sz w:val="18"/>
      <w:szCs w:val="18"/>
    </w:rPr>
  </w:style>
  <w:style w:type="paragraph" w:styleId="4">
    <w:name w:val="annotation text"/>
    <w:basedOn w:val="1"/>
    <w:link w:val="19"/>
    <w:semiHidden/>
    <w:qFormat/>
    <w:uiPriority w:val="99"/>
    <w:pPr>
      <w:jc w:val="left"/>
    </w:pPr>
    <w:rPr>
      <w:rFonts w:cs="Times New Roman"/>
      <w:kern w:val="0"/>
    </w:rPr>
  </w:style>
  <w:style w:type="paragraph" w:styleId="5">
    <w:name w:val="Balloon Text"/>
    <w:basedOn w:val="1"/>
    <w:link w:val="28"/>
    <w:semiHidden/>
    <w:qFormat/>
    <w:uiPriority w:val="99"/>
    <w:rPr>
      <w:rFonts w:cs="Times New Roman"/>
      <w:kern w:val="0"/>
      <w:sz w:val="18"/>
      <w:szCs w:val="18"/>
    </w:rPr>
  </w:style>
  <w:style w:type="paragraph" w:styleId="6">
    <w:name w:val="footer"/>
    <w:basedOn w:val="1"/>
    <w:link w:val="25"/>
    <w:qFormat/>
    <w:uiPriority w:val="99"/>
    <w:pPr>
      <w:tabs>
        <w:tab w:val="center" w:pos="4153"/>
        <w:tab w:val="right" w:pos="8306"/>
      </w:tabs>
      <w:snapToGrid w:val="0"/>
      <w:jc w:val="left"/>
    </w:pPr>
    <w:rPr>
      <w:rFonts w:cs="Times New Roman"/>
      <w:kern w:val="0"/>
      <w:sz w:val="18"/>
      <w:szCs w:val="18"/>
    </w:rPr>
  </w:style>
  <w:style w:type="paragraph" w:styleId="7">
    <w:name w:val="header"/>
    <w:basedOn w:val="1"/>
    <w:link w:val="26"/>
    <w:qFormat/>
    <w:uiPriority w:val="99"/>
    <w:pPr>
      <w:pBdr>
        <w:bottom w:val="single" w:color="auto" w:sz="6" w:space="1"/>
      </w:pBdr>
      <w:tabs>
        <w:tab w:val="center" w:pos="4153"/>
        <w:tab w:val="right" w:pos="8306"/>
      </w:tabs>
      <w:snapToGrid w:val="0"/>
      <w:jc w:val="center"/>
    </w:pPr>
    <w:rPr>
      <w:rFonts w:cs="Times New Roman"/>
      <w:kern w:val="0"/>
      <w:sz w:val="18"/>
      <w:szCs w:val="18"/>
    </w:rPr>
  </w:style>
  <w:style w:type="paragraph" w:styleId="8">
    <w:name w:val="Subtitle"/>
    <w:basedOn w:val="1"/>
    <w:next w:val="1"/>
    <w:link w:val="22"/>
    <w:qFormat/>
    <w:uiPriority w:val="99"/>
    <w:pPr>
      <w:spacing w:before="240" w:after="60" w:line="312" w:lineRule="auto"/>
      <w:jc w:val="center"/>
      <w:outlineLvl w:val="1"/>
    </w:pPr>
    <w:rPr>
      <w:rFonts w:ascii="Cambria" w:hAnsi="Cambria" w:cs="Times New Roman"/>
      <w:b/>
      <w:bCs/>
      <w:kern w:val="28"/>
      <w:sz w:val="32"/>
      <w:szCs w:val="32"/>
    </w:rPr>
  </w:style>
  <w:style w:type="paragraph" w:styleId="9">
    <w:name w:val="footnote text"/>
    <w:basedOn w:val="1"/>
    <w:link w:val="33"/>
    <w:qFormat/>
    <w:uiPriority w:val="0"/>
    <w:pPr>
      <w:snapToGrid w:val="0"/>
      <w:jc w:val="left"/>
    </w:pPr>
    <w:rPr>
      <w:rFonts w:cs="Times New Roman"/>
      <w:sz w:val="18"/>
      <w:szCs w:val="18"/>
    </w:rPr>
  </w:style>
  <w:style w:type="paragraph" w:styleId="10">
    <w:name w:val="Normal (Web)"/>
    <w:basedOn w:val="1"/>
    <w:unhideWhenUsed/>
    <w:qFormat/>
    <w:uiPriority w:val="99"/>
    <w:rPr>
      <w:rFonts w:ascii="Times New Roman" w:hAnsi="Times New Roman" w:cs="Times New Roman"/>
      <w:sz w:val="24"/>
      <w:szCs w:val="20"/>
    </w:rPr>
  </w:style>
  <w:style w:type="paragraph" w:styleId="11">
    <w:name w:val="Title"/>
    <w:basedOn w:val="1"/>
    <w:next w:val="1"/>
    <w:link w:val="21"/>
    <w:qFormat/>
    <w:uiPriority w:val="99"/>
    <w:pPr>
      <w:spacing w:before="240" w:after="60"/>
      <w:jc w:val="center"/>
      <w:outlineLvl w:val="0"/>
    </w:pPr>
    <w:rPr>
      <w:rFonts w:ascii="Cambria" w:hAnsi="Cambria" w:cs="Times New Roman"/>
      <w:b/>
      <w:bCs/>
      <w:kern w:val="0"/>
      <w:sz w:val="32"/>
      <w:szCs w:val="32"/>
    </w:rPr>
  </w:style>
  <w:style w:type="paragraph" w:styleId="12">
    <w:name w:val="annotation subject"/>
    <w:basedOn w:val="4"/>
    <w:next w:val="4"/>
    <w:link w:val="20"/>
    <w:semiHidden/>
    <w:qFormat/>
    <w:uiPriority w:val="99"/>
    <w:rPr>
      <w:b/>
      <w:bCs/>
    </w:rPr>
  </w:style>
  <w:style w:type="character" w:styleId="15">
    <w:name w:val="page number"/>
    <w:basedOn w:val="14"/>
    <w:qFormat/>
    <w:uiPriority w:val="99"/>
  </w:style>
  <w:style w:type="character" w:styleId="16">
    <w:name w:val="Hyperlink"/>
    <w:qFormat/>
    <w:uiPriority w:val="99"/>
    <w:rPr>
      <w:color w:val="0000FF"/>
      <w:u w:val="single"/>
    </w:rPr>
  </w:style>
  <w:style w:type="character" w:styleId="17">
    <w:name w:val="annotation reference"/>
    <w:semiHidden/>
    <w:qFormat/>
    <w:uiPriority w:val="99"/>
    <w:rPr>
      <w:sz w:val="21"/>
      <w:szCs w:val="21"/>
    </w:rPr>
  </w:style>
  <w:style w:type="character" w:styleId="18">
    <w:name w:val="footnote reference"/>
    <w:qFormat/>
    <w:uiPriority w:val="0"/>
    <w:rPr>
      <w:vertAlign w:val="superscript"/>
    </w:rPr>
  </w:style>
  <w:style w:type="character" w:customStyle="1" w:styleId="19">
    <w:name w:val="批注文字 Char"/>
    <w:link w:val="4"/>
    <w:semiHidden/>
    <w:qFormat/>
    <w:locked/>
    <w:uiPriority w:val="99"/>
    <w:rPr>
      <w:rFonts w:ascii="Calibri" w:hAnsi="Calibri" w:eastAsia="宋体" w:cs="Calibri"/>
      <w:sz w:val="21"/>
      <w:szCs w:val="21"/>
    </w:rPr>
  </w:style>
  <w:style w:type="character" w:customStyle="1" w:styleId="20">
    <w:name w:val="批注主题 Char"/>
    <w:link w:val="12"/>
    <w:semiHidden/>
    <w:qFormat/>
    <w:locked/>
    <w:uiPriority w:val="99"/>
    <w:rPr>
      <w:rFonts w:ascii="Calibri" w:hAnsi="Calibri" w:eastAsia="宋体" w:cs="Calibri"/>
      <w:b/>
      <w:bCs/>
      <w:sz w:val="21"/>
      <w:szCs w:val="21"/>
    </w:rPr>
  </w:style>
  <w:style w:type="character" w:customStyle="1" w:styleId="21">
    <w:name w:val="标题 Char"/>
    <w:link w:val="11"/>
    <w:qFormat/>
    <w:locked/>
    <w:uiPriority w:val="99"/>
    <w:rPr>
      <w:rFonts w:ascii="Cambria" w:hAnsi="Cambria" w:eastAsia="宋体" w:cs="Cambria"/>
      <w:b/>
      <w:bCs/>
      <w:sz w:val="32"/>
      <w:szCs w:val="32"/>
    </w:rPr>
  </w:style>
  <w:style w:type="character" w:customStyle="1" w:styleId="22">
    <w:name w:val="副标题 Char"/>
    <w:link w:val="8"/>
    <w:qFormat/>
    <w:locked/>
    <w:uiPriority w:val="99"/>
    <w:rPr>
      <w:rFonts w:ascii="Cambria" w:hAnsi="Cambria" w:eastAsia="宋体" w:cs="Cambria"/>
      <w:b/>
      <w:bCs/>
      <w:kern w:val="28"/>
      <w:sz w:val="32"/>
      <w:szCs w:val="32"/>
    </w:rPr>
  </w:style>
  <w:style w:type="character" w:customStyle="1" w:styleId="23">
    <w:name w:val="未处理的提及1"/>
    <w:unhideWhenUsed/>
    <w:qFormat/>
    <w:uiPriority w:val="99"/>
    <w:rPr>
      <w:color w:val="605E5C"/>
      <w:shd w:val="clear" w:color="auto" w:fill="E1DFDD"/>
    </w:rPr>
  </w:style>
  <w:style w:type="character" w:customStyle="1" w:styleId="24">
    <w:name w:val="标题 1 Char"/>
    <w:link w:val="2"/>
    <w:qFormat/>
    <w:locked/>
    <w:uiPriority w:val="99"/>
    <w:rPr>
      <w:rFonts w:ascii="Calibri" w:hAnsi="Calibri" w:eastAsia="宋体" w:cs="Calibri"/>
      <w:b/>
      <w:bCs/>
      <w:kern w:val="44"/>
      <w:sz w:val="44"/>
      <w:szCs w:val="44"/>
    </w:rPr>
  </w:style>
  <w:style w:type="character" w:customStyle="1" w:styleId="25">
    <w:name w:val="页脚 Char"/>
    <w:link w:val="6"/>
    <w:semiHidden/>
    <w:qFormat/>
    <w:locked/>
    <w:uiPriority w:val="99"/>
    <w:rPr>
      <w:rFonts w:ascii="Calibri" w:hAnsi="Calibri" w:eastAsia="宋体" w:cs="Calibri"/>
      <w:sz w:val="18"/>
      <w:szCs w:val="18"/>
    </w:rPr>
  </w:style>
  <w:style w:type="character" w:customStyle="1" w:styleId="26">
    <w:name w:val="页眉 Char"/>
    <w:link w:val="7"/>
    <w:semiHidden/>
    <w:qFormat/>
    <w:locked/>
    <w:uiPriority w:val="99"/>
    <w:rPr>
      <w:rFonts w:ascii="Calibri" w:hAnsi="Calibri" w:eastAsia="宋体" w:cs="Calibri"/>
      <w:sz w:val="18"/>
      <w:szCs w:val="18"/>
    </w:rPr>
  </w:style>
  <w:style w:type="character" w:customStyle="1" w:styleId="27">
    <w:name w:val="文档结构图 Char"/>
    <w:link w:val="3"/>
    <w:semiHidden/>
    <w:qFormat/>
    <w:locked/>
    <w:uiPriority w:val="99"/>
    <w:rPr>
      <w:rFonts w:ascii="宋体" w:hAnsi="Calibri" w:eastAsia="宋体" w:cs="宋体"/>
      <w:sz w:val="18"/>
      <w:szCs w:val="18"/>
    </w:rPr>
  </w:style>
  <w:style w:type="character" w:customStyle="1" w:styleId="28">
    <w:name w:val="批注框文本 Char"/>
    <w:link w:val="5"/>
    <w:semiHidden/>
    <w:qFormat/>
    <w:locked/>
    <w:uiPriority w:val="99"/>
    <w:rPr>
      <w:rFonts w:ascii="Calibri" w:hAnsi="Calibri" w:eastAsia="宋体" w:cs="Calibri"/>
      <w:sz w:val="18"/>
      <w:szCs w:val="18"/>
    </w:rPr>
  </w:style>
  <w:style w:type="paragraph" w:customStyle="1" w:styleId="29">
    <w:name w:val="List Paragraph1"/>
    <w:basedOn w:val="1"/>
    <w:qFormat/>
    <w:uiPriority w:val="99"/>
    <w:pPr>
      <w:ind w:firstLine="420" w:firstLineChars="200"/>
    </w:pPr>
  </w:style>
  <w:style w:type="paragraph" w:customStyle="1" w:styleId="30">
    <w:name w:val="Default"/>
    <w:qFormat/>
    <w:uiPriority w:val="0"/>
    <w:pPr>
      <w:widowControl w:val="0"/>
      <w:autoSpaceDE w:val="0"/>
      <w:autoSpaceDN w:val="0"/>
      <w:adjustRightInd w:val="0"/>
    </w:pPr>
    <w:rPr>
      <w:rFonts w:ascii="Wingdings" w:hAnsi="Wingdings" w:eastAsia="宋体" w:cs="Wingdings"/>
      <w:color w:val="000000"/>
      <w:sz w:val="24"/>
      <w:szCs w:val="24"/>
      <w:lang w:val="en-US" w:eastAsia="zh-CN" w:bidi="ar-SA"/>
    </w:rPr>
  </w:style>
  <w:style w:type="paragraph" w:customStyle="1" w:styleId="31">
    <w:name w:val="msonormalcxspmiddle"/>
    <w:basedOn w:val="1"/>
    <w:qFormat/>
    <w:uiPriority w:val="99"/>
    <w:pPr>
      <w:widowControl/>
      <w:spacing w:before="100" w:beforeAutospacing="1" w:after="100" w:afterAutospacing="1"/>
      <w:jc w:val="left"/>
    </w:pPr>
    <w:rPr>
      <w:rFonts w:ascii="宋体" w:hAnsi="宋体" w:cs="宋体"/>
      <w:kern w:val="0"/>
      <w:sz w:val="24"/>
      <w:szCs w:val="24"/>
    </w:rPr>
  </w:style>
  <w:style w:type="paragraph" w:customStyle="1" w:styleId="32">
    <w:name w:val="修订1"/>
    <w:hidden/>
    <w:unhideWhenUsed/>
    <w:qFormat/>
    <w:uiPriority w:val="99"/>
    <w:rPr>
      <w:rFonts w:ascii="Calibri" w:hAnsi="Calibri" w:eastAsia="宋体" w:cs="Calibri"/>
      <w:kern w:val="2"/>
      <w:sz w:val="21"/>
      <w:szCs w:val="21"/>
      <w:lang w:val="en-US" w:eastAsia="zh-CN" w:bidi="ar-SA"/>
    </w:rPr>
  </w:style>
  <w:style w:type="character" w:customStyle="1" w:styleId="33">
    <w:name w:val="脚注文本 Char"/>
    <w:link w:val="9"/>
    <w:qFormat/>
    <w:uiPriority w:val="0"/>
    <w:rPr>
      <w:rFonts w:ascii="Calibri" w:hAnsi="Calibri" w:cs="Calibri"/>
      <w:kern w:val="2"/>
      <w:sz w:val="18"/>
      <w:szCs w:val="18"/>
    </w:rPr>
  </w:style>
  <w:style w:type="paragraph" w:styleId="34">
    <w:name w:val="List Paragraph"/>
    <w:basedOn w:val="1"/>
    <w:qFormat/>
    <w:uiPriority w:val="99"/>
    <w:pPr>
      <w:ind w:firstLine="420" w:firstLineChars="200"/>
    </w:pPr>
  </w:style>
  <w:style w:type="paragraph" w:customStyle="1" w:styleId="35">
    <w:name w:val="List Paragraph2"/>
    <w:basedOn w:val="1"/>
    <w:unhideWhenUsed/>
    <w:qFormat/>
    <w:uiPriority w:val="0"/>
    <w:pPr>
      <w:ind w:firstLine="420" w:firstLineChars="200"/>
    </w:pPr>
    <w:rPr>
      <w:rFonts w:ascii="Times New Roman" w:hAnsi="Times New Roman" w:cs="Times New Roman"/>
      <w:szCs w:val="20"/>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E:\hccb(&#19981;&#35201;&#21024;)\&#26700;&#38754;\&#24180;&#28155;&#30410;%201.dot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04375C2-88BA-4568-99E3-24F06E9537F9}">
  <ds:schemaRefs/>
</ds:datastoreItem>
</file>

<file path=docProps/app.xml><?xml version="1.0" encoding="utf-8"?>
<Properties xmlns="http://schemas.openxmlformats.org/officeDocument/2006/extended-properties" xmlns:vt="http://schemas.openxmlformats.org/officeDocument/2006/docPropsVTypes">
  <Template>年添益 1.dotx</Template>
  <Company>Microsoft</Company>
  <Pages>20</Pages>
  <Words>2565</Words>
  <Characters>14622</Characters>
  <Lines>121</Lines>
  <Paragraphs>34</Paragraphs>
  <TotalTime>0</TotalTime>
  <ScaleCrop>false</ScaleCrop>
  <LinksUpToDate>false</LinksUpToDate>
  <CharactersWithSpaces>17153</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2021-05-27T04:25:00Z</dcterms:created>
  <dc:creator>hccb</dc:creator>
  <cp:lastModifiedBy>何婷婷</cp:lastModifiedBy>
  <cp:lastPrinted>2020-04-15T04:53:00Z</cp:lastPrinted>
  <dcterms:modified xsi:type="dcterms:W3CDTF">2022-04-12T12:30:12Z</dcterms:modified>
  <dc:title>“幸福99”双季添益银行理财计划风险揭示书</dc:title>
  <cp:revision>60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