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sz w:val="32"/>
          <w:szCs w:val="32"/>
        </w:rPr>
      </w:pPr>
      <w:r>
        <w:rPr>
          <w:rFonts w:hint="eastAsia"/>
          <w:b/>
          <w:sz w:val="32"/>
          <w:szCs w:val="32"/>
        </w:rPr>
        <w:t>杭银理财幸福99添益系列理财计划风险揭示书</w:t>
      </w:r>
    </w:p>
    <w:p>
      <w:pPr>
        <w:autoSpaceDE w:val="0"/>
        <w:autoSpaceDN w:val="0"/>
        <w:adjustRightInd w:val="0"/>
        <w:spacing w:line="360" w:lineRule="auto"/>
        <w:jc w:val="center"/>
        <w:rPr>
          <w:rFonts w:ascii="宋体" w:hAnsi="宋体"/>
          <w:kern w:val="0"/>
        </w:rPr>
      </w:pPr>
      <w:r>
        <w:rPr>
          <w:rFonts w:hint="eastAsia" w:ascii="宋体" w:hAnsi="宋体"/>
          <w:b/>
          <w:kern w:val="0"/>
        </w:rPr>
        <w:t>“理财非存款、产品有风险、投资须谨慎</w:t>
      </w:r>
      <w:r>
        <w:rPr>
          <w:rFonts w:hint="eastAsia" w:ascii="宋体" w:hAnsi="宋体"/>
          <w:kern w:val="0"/>
        </w:rPr>
        <w:t>”</w:t>
      </w:r>
    </w:p>
    <w:p>
      <w:pPr>
        <w:autoSpaceDE w:val="0"/>
        <w:autoSpaceDN w:val="0"/>
        <w:spacing w:line="360" w:lineRule="auto"/>
        <w:rPr>
          <w:rFonts w:ascii="宋体" w:hAnsi="宋体" w:cs="宋体"/>
          <w:kern w:val="0"/>
        </w:rPr>
      </w:pPr>
      <w:r>
        <w:rPr>
          <w:rFonts w:hint="eastAsia" w:ascii="宋体" w:hAnsi="宋体" w:cs="宋体"/>
          <w:kern w:val="0"/>
        </w:rPr>
        <w:t>尊敬的理财投资者：</w:t>
      </w:r>
    </w:p>
    <w:p>
      <w:pPr>
        <w:autoSpaceDE w:val="0"/>
        <w:autoSpaceDN w:val="0"/>
        <w:spacing w:line="520" w:lineRule="exact"/>
        <w:ind w:firstLine="420" w:firstLineChars="200"/>
        <w:rPr>
          <w:rFonts w:ascii="宋体" w:hAnsi="宋体" w:cs="宋体"/>
          <w:color w:val="000000"/>
          <w:kern w:val="0"/>
        </w:rPr>
      </w:pPr>
      <w:r>
        <w:rPr>
          <w:rFonts w:hint="eastAsia" w:ascii="宋体" w:hAnsi="宋体" w:cs="宋体"/>
          <w:kern w:val="0"/>
        </w:rPr>
        <w:t>本理财产品：杭银理财幸福99添益系列理财计划，属于</w:t>
      </w:r>
      <w:r>
        <w:rPr>
          <w:rFonts w:hint="eastAsia" w:ascii="宋体" w:hAnsi="宋体" w:cs="宋体"/>
          <w:b/>
          <w:kern w:val="0"/>
          <w:sz w:val="24"/>
          <w:szCs w:val="24"/>
        </w:rPr>
        <w:t>定期开放式非保本净值型</w:t>
      </w:r>
      <w:r>
        <w:rPr>
          <w:rFonts w:hint="eastAsia" w:ascii="宋体" w:hAnsi="宋体" w:cs="宋体"/>
          <w:bCs/>
          <w:kern w:val="0"/>
        </w:rPr>
        <w:t>理财产品</w:t>
      </w:r>
      <w:r>
        <w:rPr>
          <w:rFonts w:hint="eastAsia" w:ascii="宋体" w:hAnsi="宋体" w:cs="宋体"/>
          <w:kern w:val="0"/>
        </w:rPr>
        <w:t>，为</w:t>
      </w:r>
      <w:r>
        <w:rPr>
          <w:rFonts w:hint="eastAsia" w:ascii="宋体" w:hAnsi="宋体" w:cs="宋体"/>
          <w:b/>
          <w:kern w:val="0"/>
          <w:sz w:val="24"/>
          <w:szCs w:val="24"/>
        </w:rPr>
        <w:t>公募固定收益类</w:t>
      </w:r>
      <w:r>
        <w:rPr>
          <w:rFonts w:hint="eastAsia" w:ascii="宋体" w:hAnsi="宋体" w:cs="宋体"/>
          <w:kern w:val="0"/>
        </w:rPr>
        <w:t>理财产品</w:t>
      </w:r>
      <w:r>
        <w:rPr>
          <w:rFonts w:hint="eastAsia" w:ascii="宋体" w:hAnsi="宋体" w:cs="宋体"/>
          <w:b/>
          <w:kern w:val="0"/>
        </w:rPr>
        <w:t>。</w:t>
      </w:r>
      <w:r>
        <w:rPr>
          <w:rFonts w:hint="eastAsia" w:ascii="宋体" w:hAnsi="宋体" w:cs="宋体"/>
          <w:color w:val="000000"/>
          <w:kern w:val="0"/>
        </w:rPr>
        <w:t>本产品有投资风险，不保证本金和收益，理财本金与收益可能会因市场变动而蒙受重大损失。产品以产品开放确认时的单位净值，按照“金额申购、份额赎回”的原则计算投资者申购份额和赎回资金，产品净值可能会有波动，投资者持有的理财计划份额可能会有浮亏或浮盈，赎回的理财份额可能会损失部分本金，若终止日发生净值大幅度下降的最不利情形，投资者可能将遭受本金的重大甚至全部损失。管理人对本产品的内部风险评级结果为</w:t>
      </w:r>
      <w:r>
        <w:rPr>
          <w:rFonts w:hint="eastAsia" w:ascii="宋体" w:hAnsi="宋体" w:cs="宋体"/>
          <w:b/>
          <w:color w:val="000000"/>
          <w:kern w:val="0"/>
          <w:sz w:val="30"/>
          <w:szCs w:val="30"/>
        </w:rPr>
        <w:t>R2</w:t>
      </w:r>
      <w:r>
        <w:rPr>
          <w:rFonts w:hint="eastAsia" w:ascii="宋体" w:hAnsi="宋体" w:cs="宋体"/>
          <w:color w:val="000000"/>
          <w:kern w:val="0"/>
        </w:rPr>
        <w:t>,中低风险，本产品理财本金亏损的概率较低。</w:t>
      </w:r>
    </w:p>
    <w:p>
      <w:pPr>
        <w:autoSpaceDE w:val="0"/>
        <w:autoSpaceDN w:val="0"/>
        <w:spacing w:line="520" w:lineRule="exact"/>
        <w:ind w:firstLine="422" w:firstLineChars="200"/>
        <w:rPr>
          <w:rFonts w:ascii="宋体" w:hAnsi="宋体" w:cs="宋体"/>
          <w:b/>
          <w:kern w:val="0"/>
        </w:rPr>
      </w:pPr>
      <w:r>
        <w:rPr>
          <w:rFonts w:hint="eastAsia" w:ascii="宋体" w:hAnsi="宋体" w:cs="宋体"/>
          <w:b/>
          <w:bCs/>
          <w:color w:val="000000"/>
          <w:kern w:val="0"/>
        </w:rPr>
        <w:t>您应仔细阅读理财产品风险揭示书、理财产品说明书、投资者权益须知、理财</w:t>
      </w:r>
      <w:r>
        <w:rPr>
          <w:rFonts w:hint="eastAsia" w:ascii="宋体" w:hAnsi="宋体" w:cs="宋体"/>
          <w:b/>
          <w:bCs/>
          <w:color w:val="000000"/>
          <w:kern w:val="0"/>
          <w:lang w:val="en-US" w:eastAsia="zh-CN"/>
        </w:rPr>
        <w:t>计划投资</w:t>
      </w:r>
      <w:r>
        <w:rPr>
          <w:rFonts w:hint="eastAsia" w:ascii="宋体" w:hAnsi="宋体" w:cs="宋体"/>
          <w:b/>
          <w:bCs/>
          <w:color w:val="000000"/>
          <w:kern w:val="0"/>
        </w:rPr>
        <w:t>协议书</w:t>
      </w:r>
      <w:r>
        <w:rPr>
          <w:rFonts w:hint="eastAsia" w:ascii="宋体" w:hAnsi="宋体" w:cs="宋体"/>
          <w:b/>
          <w:bCs/>
          <w:color w:val="000000"/>
          <w:kern w:val="0"/>
          <w:lang w:eastAsia="zh-CN"/>
        </w:rPr>
        <w:t>、</w:t>
      </w:r>
      <w:r>
        <w:rPr>
          <w:rFonts w:hint="eastAsia" w:ascii="宋体" w:hAnsi="宋体" w:cs="宋体"/>
          <w:b/>
          <w:bCs/>
          <w:color w:val="000000"/>
          <w:kern w:val="0"/>
          <w:lang w:val="en-US" w:eastAsia="zh-CN"/>
        </w:rPr>
        <w:t>理财计划销售协议书</w:t>
      </w:r>
      <w:r>
        <w:rPr>
          <w:rFonts w:hint="eastAsia" w:ascii="宋体" w:hAnsi="宋体" w:cs="宋体"/>
          <w:b/>
          <w:bCs/>
          <w:color w:val="000000"/>
          <w:kern w:val="0"/>
        </w:rPr>
        <w:t>全部条款</w:t>
      </w:r>
      <w:r>
        <w:rPr>
          <w:rFonts w:hint="eastAsia" w:ascii="宋体" w:hAnsi="宋体" w:cs="宋体"/>
          <w:color w:val="000000"/>
          <w:kern w:val="0"/>
        </w:rPr>
        <w:t>，这些销售文件将共同构成与管理人之间的理财交易合同（若电子银行购买的，成功交易后视同为投资者与杭银理财已完成理财计划交易合同的签订），同时您还可向销售机构详细了解本理财产品特性、资金投向及投资组合安排、风险揭示内容及风险管控措施。本理财产品最终收益的实现将视市场情况等因素而定，您应该充分认识本产品的投资风险，敬请仔细判别，谨慎投资：</w:t>
      </w:r>
    </w:p>
    <w:p>
      <w:pPr>
        <w:spacing w:line="520" w:lineRule="exact"/>
        <w:rPr>
          <w:kern w:val="0"/>
        </w:rPr>
      </w:pPr>
      <w:r>
        <w:rPr>
          <w:rFonts w:hint="eastAsia"/>
          <w:kern w:val="0"/>
        </w:rPr>
        <w:t>第一条、理财产品共性风险提示和管控措施</w:t>
      </w:r>
    </w:p>
    <w:p>
      <w:pPr>
        <w:autoSpaceDE w:val="0"/>
        <w:autoSpaceDN w:val="0"/>
        <w:spacing w:line="520" w:lineRule="exact"/>
        <w:ind w:firstLine="420"/>
        <w:jc w:val="left"/>
        <w:rPr>
          <w:rFonts w:ascii="宋体" w:hAnsi="宋体" w:cs="宋体"/>
        </w:rPr>
      </w:pPr>
      <w:r>
        <w:rPr>
          <w:rFonts w:hint="eastAsia" w:ascii="宋体" w:hAnsi="宋体" w:cs="宋体"/>
        </w:rPr>
        <w:t>（一）信用风险：理财产品面临的信用风险主要是指因理财产品配置资产所涉及的相关债务主体到期未能履行还款义务，使理财产品本金或收益蒙受损失的风险。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针对理财产品配置资产的不同特征，采取了多种管理措施，针对有信用评级的固定收益产品，将其纳入信用产品投资管理范畴，依据其信用评级、财务状况、市场影响等多重指标对已投资和待投资的资产定期进行评估，符合投资要求的信用产品方可继续持有或允许投资，不符合投资要求的资产则限期出售或不予投资，并在运作过程中严格监控所投资资产的信用等级，以控制理财产品的信用风险。</w:t>
      </w:r>
    </w:p>
    <w:p>
      <w:pPr>
        <w:autoSpaceDE w:val="0"/>
        <w:autoSpaceDN w:val="0"/>
        <w:spacing w:line="520" w:lineRule="exact"/>
        <w:ind w:firstLine="420"/>
        <w:jc w:val="left"/>
        <w:rPr>
          <w:rFonts w:ascii="宋体" w:hAnsi="宋体" w:cs="宋体"/>
        </w:rPr>
      </w:pPr>
      <w:r>
        <w:rPr>
          <w:rFonts w:hint="eastAsia" w:ascii="宋体" w:hAnsi="宋体" w:cs="宋体"/>
        </w:rPr>
        <w:t>（二）市场风险：理财产品面临的市场风险主要指因国家政策、经济周期、利率、汇率等因素可能发生变化，使得理财产品配置资产的价格发生波动，导致理财产品本金或收益蒙受损失的风险。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主要依托银行间市场、证券交易所交易平台，密切监控理财产品配置资产的交易情况，定期进行估值，如交易价格或成交量发生异动、重大事件发生时（债券发行人涉及亏损、诉讼等），及时采取相应措施，控制理财产品面临的市场风险。本期理财产品也将面临一定的因相关金融工具市场价格波动而带来的市场风险。</w:t>
      </w:r>
    </w:p>
    <w:p>
      <w:pPr>
        <w:autoSpaceDE w:val="0"/>
        <w:autoSpaceDN w:val="0"/>
        <w:spacing w:line="520" w:lineRule="exact"/>
        <w:ind w:firstLine="420"/>
        <w:jc w:val="left"/>
        <w:rPr>
          <w:rFonts w:ascii="宋体" w:hAnsi="宋体" w:cs="宋体"/>
        </w:rPr>
      </w:pPr>
      <w:r>
        <w:rPr>
          <w:rFonts w:hint="eastAsia" w:ascii="宋体" w:hAnsi="宋体" w:cs="宋体"/>
          <w:color w:val="000000"/>
        </w:rPr>
        <w:t>（三）流动性风险：指理财计划投资组合内的资产不能迅速转变成现金，或因资产变现而导致的额外资金成本增加的风险。本理财产品存续期间，投资者只能在本理财产品说明书规定的时间内办理申购与赎回，投资者在其他时间急需流动性时，无法及时变现理财产品。理财产品存续期内任一交易日，若遇大额赎回时，可能影响投资者的资金安排，带来流动性风险。</w:t>
      </w:r>
    </w:p>
    <w:p>
      <w:pPr>
        <w:autoSpaceDE w:val="0"/>
        <w:autoSpaceDN w:val="0"/>
        <w:spacing w:line="520" w:lineRule="exact"/>
        <w:ind w:firstLine="420"/>
        <w:jc w:val="left"/>
        <w:rPr>
          <w:rFonts w:ascii="宋体" w:hAnsi="宋体" w:cs="宋体"/>
        </w:rPr>
      </w:pPr>
      <w:r>
        <w:rPr>
          <w:rFonts w:hint="eastAsia" w:ascii="宋体" w:hAnsi="宋体" w:cs="宋体"/>
        </w:rPr>
        <w:t>从理财产品资产配置的角度，管理人内部风险评估在理财产品成立期初，对理财产品及其所配置资产的存续期进行评估，配置资产中可以变现的高流动性资产保持较高的比例并对理财产品所配置资产自身的流动性进行分析，对流动性较差的资产，将谨慎投资，以控制流动性风险；在投资者方面，管理人将充分提示投资者根据本理财产品定期开放的期限，合理安排自身投资计划。</w:t>
      </w:r>
      <w:r>
        <w:rPr>
          <w:rFonts w:hint="eastAsia" w:ascii="宋体" w:hAnsi="宋体" w:cs="宋体"/>
          <w:b/>
        </w:rPr>
        <w:t>从投资者的角度，本理财产品为定期开放式理财产品，每相邻两个开放期之间时段不能提前赎回，投资者应充分考虑并合理安排自身投资计划</w:t>
      </w:r>
      <w:r>
        <w:rPr>
          <w:rFonts w:hint="eastAsia" w:ascii="宋体" w:hAnsi="宋体" w:cs="宋体"/>
        </w:rPr>
        <w:t xml:space="preserve">。 </w:t>
      </w:r>
    </w:p>
    <w:p>
      <w:pPr>
        <w:autoSpaceDE w:val="0"/>
        <w:autoSpaceDN w:val="0"/>
        <w:spacing w:line="520" w:lineRule="exact"/>
        <w:ind w:firstLine="426"/>
        <w:jc w:val="left"/>
        <w:rPr>
          <w:rFonts w:ascii="宋体" w:hAnsi="宋体" w:cs="宋体"/>
        </w:rPr>
      </w:pPr>
      <w:r>
        <w:rPr>
          <w:rFonts w:hint="eastAsia" w:ascii="宋体" w:hAnsi="宋体" w:cs="宋体"/>
        </w:rPr>
        <w:t>（四）交易对手风险：理财产品面临的交易对手风险主要是指管理人为理财产品配置资产的过程中，因交易对手交易失误等原因，导致理财产品本金或收益蒙受损失的风险。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一方面在配置资产过程中严格选择信用水平较高的交易对手，另一方面参照同业统一授信的管理方式，加强对交易对手信用状况的跟踪调查，管理理财产品配置资产过程中的交易对手风险。本理财产品在资产配置过程中也存在一定的交易对手风险。 </w:t>
      </w:r>
    </w:p>
    <w:p>
      <w:pPr>
        <w:autoSpaceDE w:val="0"/>
        <w:autoSpaceDN w:val="0"/>
        <w:spacing w:line="520" w:lineRule="exact"/>
        <w:ind w:firstLine="420"/>
        <w:jc w:val="left"/>
        <w:rPr>
          <w:rFonts w:ascii="宋体" w:hAnsi="宋体" w:cs="宋体"/>
        </w:rPr>
      </w:pPr>
      <w:r>
        <w:rPr>
          <w:rFonts w:hint="eastAsia" w:ascii="宋体" w:hAnsi="宋体" w:cs="宋体"/>
        </w:rPr>
        <w:t xml:space="preserve">（五）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 </w:t>
      </w:r>
    </w:p>
    <w:p>
      <w:pPr>
        <w:autoSpaceDE w:val="0"/>
        <w:autoSpaceDN w:val="0"/>
        <w:spacing w:line="520" w:lineRule="exact"/>
        <w:ind w:firstLine="420"/>
        <w:jc w:val="left"/>
        <w:rPr>
          <w:rFonts w:ascii="宋体" w:hAnsi="宋体" w:cs="宋体"/>
        </w:rPr>
      </w:pPr>
      <w:r>
        <w:rPr>
          <w:rFonts w:hint="eastAsia" w:ascii="宋体" w:hAnsi="宋体" w:cs="宋体"/>
        </w:rPr>
        <w:t>管理人或销售机构按照理财产品说明书有关条款的约定，发布理财产品的运作、到期清算或提前终止等信息公告。投资者应根据约定及时登陆管理人或销售机构网站查询，如果投资者未及时查询，或由于通信故障、系统故障以及其他不可抗力等因素的影响使得投资者无法及时了解产品信息，因此而产生的责任和风险由投资者自行承担。</w:t>
      </w:r>
      <w:r>
        <w:rPr>
          <w:rFonts w:hint="eastAsia" w:ascii="宋体" w:cs="宋体"/>
        </w:rPr>
        <w:t>对于个人投资者，</w:t>
      </w:r>
      <w:r>
        <w:rPr>
          <w:rFonts w:hint="eastAsia" w:ascii="宋体" w:hAnsi="宋体" w:cs="宋体"/>
          <w:b/>
        </w:rPr>
        <w:t>如果影响投资者风险承受能力的因素发生变化或风险承受能力评估结果已过一年的有效期，请及时完成风险承受能力评估，否则可能造成投资者无法认购，由此产生的责任和风险由投资者自行承担。</w:t>
      </w:r>
      <w:r>
        <w:rPr>
          <w:rFonts w:hint="eastAsia" w:ascii="宋体" w:hAnsi="宋体" w:cs="宋体"/>
        </w:rPr>
        <w:t>另外，投资者预留在销售机构的有效联系方式进行变更的，应及时告知销售机构，如投资者未及时告知销售机构联系方式变更的，销售机构可能在需要时无法及时联系投资者，并可能会由此影响投资者的决策，由此产生的责任和风险由投资者自行承担。</w:t>
      </w:r>
    </w:p>
    <w:p>
      <w:pPr>
        <w:autoSpaceDE w:val="0"/>
        <w:autoSpaceDN w:val="0"/>
        <w:spacing w:line="520" w:lineRule="exact"/>
        <w:ind w:firstLine="420"/>
        <w:jc w:val="left"/>
        <w:rPr>
          <w:rFonts w:ascii="宋体" w:hAnsi="宋体" w:cs="宋体"/>
        </w:rPr>
      </w:pPr>
      <w:r>
        <w:rPr>
          <w:rFonts w:hint="eastAsia" w:ascii="宋体" w:hAnsi="宋体" w:cs="宋体"/>
        </w:rPr>
        <w:t xml:space="preserve"> （六</w:t>
      </w:r>
      <w:r>
        <w:rPr>
          <w:rFonts w:ascii="宋体" w:hAnsi="宋体" w:cs="宋体"/>
        </w:rPr>
        <w:t>）</w:t>
      </w:r>
      <w:r>
        <w:rPr>
          <w:rFonts w:hint="eastAsia" w:ascii="宋体" w:hAnsi="宋体" w:cs="宋体"/>
        </w:rPr>
        <w:t>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autoSpaceDE w:val="0"/>
        <w:autoSpaceDN w:val="0"/>
        <w:spacing w:line="520" w:lineRule="exact"/>
        <w:ind w:firstLine="426"/>
        <w:jc w:val="left"/>
        <w:rPr>
          <w:rFonts w:ascii="宋体" w:hAnsi="宋体" w:cs="宋体"/>
        </w:rPr>
      </w:pPr>
      <w:r>
        <w:rPr>
          <w:rFonts w:hint="eastAsia" w:ascii="宋体" w:hAnsi="宋体" w:cs="宋体"/>
        </w:rPr>
        <w:t xml:space="preserve"> （七</w:t>
      </w:r>
      <w:r>
        <w:rPr>
          <w:rFonts w:ascii="宋体" w:hAnsi="宋体" w:cs="宋体"/>
        </w:rPr>
        <w:t>）</w:t>
      </w:r>
      <w:r>
        <w:rPr>
          <w:rFonts w:hint="eastAsia" w:ascii="宋体" w:hAnsi="宋体" w:cs="宋体"/>
        </w:rPr>
        <w:t>代销风险：本理财产品通过代销渠道销售，投资者购买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八）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若遇本理财产品不成立，管理人将于产品成立日当日通过管理人或销售机构网站及时公告相关信息，敬请投资者予以关注。</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 xml:space="preserve"> （九）政策风险：本理财产品是针对当前的相关法规和政策设计的，如国家宏观政策以及市场相关法规政策等发生变化，可能影响本理财产品的受理、投资、偿还等的正常进行，导致本理财产品收益降低甚至本金损失。</w:t>
      </w:r>
      <w:r>
        <w:rPr>
          <w:rFonts w:hint="eastAsia" w:ascii="宋体" w:hAnsi="宋体" w:cs="宋体"/>
        </w:rPr>
        <w:t>由此产生的风险由投资者自行承担</w:t>
      </w:r>
      <w:r>
        <w:rPr>
          <w:rFonts w:hint="eastAsia" w:ascii="宋体" w:hAnsi="Wingdings" w:cs="宋体"/>
          <w:color w:val="000000"/>
          <w:kern w:val="0"/>
        </w:rPr>
        <w:t>。</w:t>
      </w:r>
    </w:p>
    <w:p>
      <w:pPr>
        <w:spacing w:line="520" w:lineRule="exact"/>
      </w:pPr>
      <w:r>
        <w:rPr>
          <w:rFonts w:hint="eastAsia"/>
          <w:kern w:val="0"/>
        </w:rPr>
        <w:t>第二条、本理财产品特定风险揭示</w:t>
      </w:r>
    </w:p>
    <w:p>
      <w:pPr>
        <w:adjustRightInd w:val="0"/>
        <w:snapToGrid w:val="0"/>
        <w:spacing w:line="460" w:lineRule="exact"/>
        <w:ind w:firstLine="420" w:firstLineChars="200"/>
        <w:rPr>
          <w:rFonts w:ascii="宋体" w:cs="宋体"/>
          <w:bCs/>
          <w:color w:val="000000"/>
        </w:rPr>
      </w:pPr>
      <w:r>
        <w:rPr>
          <w:rFonts w:hint="eastAsia" w:ascii="宋体" w:hAnsi="宋体" w:cs="宋体"/>
        </w:rPr>
        <w:t>本理财产品类型：非保本净值型；本理财产品风险评级结果：根据本公司理财产品内部风险评级，该产品风险评级结果为</w:t>
      </w:r>
      <w:r>
        <w:rPr>
          <w:rFonts w:hint="eastAsia" w:ascii="宋体" w:hAnsi="宋体" w:cs="宋体"/>
          <w:b/>
          <w:sz w:val="24"/>
          <w:szCs w:val="24"/>
        </w:rPr>
        <w:t>R2</w:t>
      </w:r>
      <w:r>
        <w:rPr>
          <w:rFonts w:hint="eastAsia" w:ascii="宋体" w:hAnsi="宋体" w:cs="宋体"/>
        </w:rPr>
        <w:t>（本风险等级为本公司内部风险评级结果，仅供参考，本公司不对前述风险评级结果的准确性做出任何形式的保证，也不承担任何法律责任</w:t>
      </w:r>
      <w:r>
        <w:rPr>
          <w:rFonts w:hint="eastAsia" w:ascii="宋体" w:hAnsi="宋体" w:cs="宋体"/>
          <w:lang w:eastAsia="zh-CN"/>
        </w:rPr>
        <w:t>。</w:t>
      </w:r>
      <w:r>
        <w:rPr>
          <w:rFonts w:hint="eastAsia" w:ascii="宋体" w:hAnsi="宋体" w:eastAsia="宋体" w:cs="宋体"/>
          <w:b w:val="0"/>
          <w:i w:val="0"/>
          <w:caps w:val="0"/>
          <w:color w:val="333333"/>
          <w:spacing w:val="0"/>
          <w:sz w:val="21"/>
          <w:szCs w:val="21"/>
          <w:shd w:val="clear" w:fill="FFFFFF"/>
        </w:rPr>
        <w:t>本理财计划通过代理销售机构渠道销售的，理财计划产品评级应当以代理销售机构最终披露的评级结果为准</w:t>
      </w:r>
      <w:r>
        <w:rPr>
          <w:rFonts w:hint="eastAsia" w:ascii="宋体" w:hAnsi="宋体" w:cs="宋体"/>
        </w:rPr>
        <w:t>）；适合购买本理财产品的投资者：</w:t>
      </w:r>
      <w:r>
        <w:rPr>
          <w:rFonts w:hint="eastAsia" w:ascii="宋体" w:hAnsi="宋体" w:cs="宋体"/>
          <w:b/>
        </w:rPr>
        <w:t>本理财产品适合机构投资者及稳健型、平衡型、成长型、进取型的个人投资者，不向保守型个人投资者发售。</w:t>
      </w:r>
      <w:r>
        <w:rPr>
          <w:rFonts w:hint="eastAsia" w:ascii="宋体" w:hAnsi="宋体" w:cs="宋体"/>
          <w:bCs/>
        </w:rPr>
        <w:t>本理财产品投资者适应性评估由销售机构负责，销售机构应确保个人投资者的风险承受能力不低于本产品风险评级。</w:t>
      </w:r>
      <w:r>
        <w:rPr>
          <w:rFonts w:hint="eastAsia" w:ascii="宋体" w:cs="宋体"/>
          <w:bCs/>
          <w:color w:val="000000"/>
        </w:rPr>
        <w:t>本理财产品总体风险程度较低，收益波动较小，管理人不承诺本金保障。在发生最不利投资情形下（可能但并不一定发生），投资者可能无法取得收益并可能面临损失本金的风险。上述风险客观存在，敬请投资人予以充分关注！</w:t>
      </w:r>
    </w:p>
    <w:p>
      <w:pPr>
        <w:autoSpaceDE w:val="0"/>
        <w:autoSpaceDN w:val="0"/>
        <w:adjustRightInd w:val="0"/>
        <w:spacing w:line="360" w:lineRule="auto"/>
        <w:ind w:firstLine="5670" w:firstLineChars="2700"/>
        <w:jc w:val="left"/>
        <w:rPr>
          <w:rFonts w:ascii="宋体" w:hAnsi="宋体"/>
          <w:b/>
        </w:rPr>
      </w:pPr>
      <w:r>
        <w:rPr>
          <w:rFonts w:hint="eastAsia" w:ascii="宋体" w:hAnsi="宋体" w:cs="宋体"/>
          <w:kern w:val="0"/>
        </w:rPr>
        <w:t>风险提示方： 杭银理财有限责任公司</w:t>
      </w:r>
      <w:r>
        <w:rPr>
          <w:rFonts w:ascii="宋体" w:hAnsi="宋体" w:cs="宋体"/>
          <w:kern w:val="0"/>
        </w:rPr>
        <w:br w:type="page"/>
      </w:r>
      <w:r>
        <w:rPr>
          <w:rFonts w:hint="eastAsia" w:ascii="宋体" w:hAnsi="宋体"/>
          <w:b/>
        </w:rPr>
        <w:t>本理财产品全部销售工作及投资者适当性评估由销售机构负责。个人投资者应确保其在销售机构所作的风险承受能力评级结果由投资者本人填写，且风险承受能力等级不低于本产品风险评级。若投资者风险承受能力评估已超过一年，或影响风险承受能力的因素发生变化，请及时完成风险承受能力的重新评估。</w:t>
      </w:r>
    </w:p>
    <w:p>
      <w:pPr>
        <w:autoSpaceDE w:val="0"/>
        <w:autoSpaceDN w:val="0"/>
        <w:adjustRightInd w:val="0"/>
        <w:spacing w:line="360" w:lineRule="auto"/>
        <w:ind w:firstLine="2951" w:firstLineChars="1400"/>
        <w:jc w:val="left"/>
        <w:rPr>
          <w:rFonts w:ascii="宋体" w:hAnsi="宋体"/>
          <w:b/>
        </w:rPr>
      </w:pPr>
    </w:p>
    <w:p>
      <w:pPr>
        <w:autoSpaceDE w:val="0"/>
        <w:autoSpaceDN w:val="0"/>
        <w:adjustRightInd w:val="0"/>
        <w:spacing w:line="360" w:lineRule="auto"/>
        <w:ind w:firstLine="2940" w:firstLineChars="1400"/>
        <w:jc w:val="left"/>
        <w:rPr>
          <w:rFonts w:ascii="宋体" w:hAnsi="宋体" w:cs="宋体"/>
          <w:kern w:val="0"/>
        </w:rPr>
      </w:pPr>
    </w:p>
    <w:p>
      <w:pPr>
        <w:autoSpaceDE w:val="0"/>
        <w:autoSpaceDN w:val="0"/>
        <w:adjustRightInd w:val="0"/>
        <w:spacing w:line="360" w:lineRule="auto"/>
        <w:ind w:firstLine="2940" w:firstLineChars="1400"/>
        <w:jc w:val="right"/>
        <w:rPr>
          <w:rFonts w:ascii="宋体" w:hAnsi="宋体" w:cs="宋体"/>
          <w:kern w:val="0"/>
        </w:rPr>
      </w:pPr>
    </w:p>
    <w:p>
      <w:pPr>
        <w:pStyle w:val="30"/>
        <w:jc w:val="center"/>
        <w:rPr>
          <w:rFonts w:ascii="宋体" w:hAnsi="宋体"/>
          <w:b/>
          <w:color w:val="auto"/>
          <w:sz w:val="21"/>
          <w:szCs w:val="21"/>
        </w:rPr>
      </w:pPr>
      <w:r>
        <w:rPr>
          <w:rFonts w:hint="eastAsia" w:ascii="宋体" w:hAnsi="宋体"/>
          <w:b/>
          <w:color w:val="auto"/>
          <w:sz w:val="21"/>
          <w:szCs w:val="21"/>
        </w:rPr>
        <w:t>投资者确认栏（个人投资者填写）</w:t>
      </w:r>
    </w:p>
    <w:p>
      <w:pPr>
        <w:pStyle w:val="30"/>
        <w:jc w:val="both"/>
        <w:rPr>
          <w:rFonts w:ascii="宋体" w:hAnsi="宋体"/>
          <w:color w:val="auto"/>
          <w:sz w:val="21"/>
          <w:szCs w:val="21"/>
        </w:rPr>
      </w:pPr>
      <w:r>
        <w:rPr>
          <w:rFonts w:hint="eastAsia" w:ascii="宋体" w:hAnsi="宋体"/>
          <w:color w:val="auto"/>
          <w:sz w:val="21"/>
          <w:szCs w:val="21"/>
        </w:rPr>
        <w:t>本人经销售机构评估的风险承受能力等级为：</w:t>
      </w:r>
    </w:p>
    <w:p>
      <w:pPr>
        <w:pStyle w:val="30"/>
        <w:jc w:val="both"/>
        <w:rPr>
          <w:rFonts w:ascii="宋体" w:hAnsi="宋体"/>
          <w:color w:val="auto"/>
          <w:sz w:val="21"/>
          <w:szCs w:val="21"/>
          <w:u w:val="single"/>
        </w:rPr>
      </w:pPr>
      <w:r>
        <w:rPr>
          <w:rFonts w:hint="eastAsia" w:ascii="宋体" w:hAnsi="宋体"/>
          <w:color w:val="auto"/>
          <w:sz w:val="21"/>
          <w:szCs w:val="21"/>
          <w:u w:val="single"/>
        </w:rPr>
        <w:t xml:space="preserve">□保守型        □稳健型        □平衡型        □成长型        □进取型    </w:t>
      </w:r>
    </w:p>
    <w:p>
      <w:pPr>
        <w:pStyle w:val="30"/>
        <w:jc w:val="both"/>
        <w:rPr>
          <w:rFonts w:ascii="宋体" w:hAnsi="宋体"/>
          <w:b/>
          <w:bCs/>
          <w:color w:val="auto"/>
          <w:sz w:val="21"/>
          <w:szCs w:val="21"/>
        </w:rPr>
      </w:pPr>
      <w:r>
        <w:rPr>
          <w:rFonts w:hint="eastAsia" w:ascii="宋体" w:hAnsi="宋体"/>
          <w:b/>
          <w:bCs/>
          <w:color w:val="auto"/>
          <w:sz w:val="21"/>
          <w:szCs w:val="21"/>
        </w:rPr>
        <w:t>声明：本人已充分阅读《投资者权益须知》、《杭银理财幸福99季添益理财计划产品说明书》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pStyle w:val="30"/>
        <w:jc w:val="both"/>
        <w:rPr>
          <w:rFonts w:ascii="宋体" w:hAnsi="宋体"/>
          <w:b/>
          <w:color w:val="auto"/>
          <w:sz w:val="21"/>
          <w:szCs w:val="21"/>
        </w:rPr>
      </w:pPr>
      <w:r>
        <w:rPr>
          <w:rFonts w:hint="eastAsia" w:ascii="宋体" w:hAnsi="宋体"/>
          <w:color w:val="auto"/>
          <w:sz w:val="21"/>
          <w:szCs w:val="21"/>
        </w:rPr>
        <w:t>（投资者需全文抄录以下文字以完成确认：</w:t>
      </w:r>
      <w:r>
        <w:rPr>
          <w:rFonts w:hint="eastAsia" w:ascii="宋体" w:hAnsi="宋体"/>
          <w:b/>
          <w:color w:val="auto"/>
          <w:sz w:val="21"/>
          <w:szCs w:val="21"/>
        </w:rPr>
        <w:t xml:space="preserve">“本人已经阅读上述风险揭示，愿意承担投资风险。”） </w:t>
      </w:r>
    </w:p>
    <w:p>
      <w:pPr>
        <w:pStyle w:val="30"/>
        <w:jc w:val="both"/>
        <w:rPr>
          <w:rFonts w:ascii="宋体" w:hAnsi="宋体"/>
          <w:color w:val="auto"/>
          <w:sz w:val="21"/>
          <w:szCs w:val="21"/>
        </w:rPr>
      </w:pPr>
      <w:r>
        <w:rPr>
          <w:rFonts w:hint="eastAsia" w:ascii="宋体" w:hAnsi="宋体"/>
          <w:color w:val="auto"/>
          <w:sz w:val="21"/>
          <w:szCs w:val="21"/>
        </w:rPr>
        <w:t>本人同时确认如下：____________________________________________________________________</w:t>
      </w:r>
    </w:p>
    <w:p>
      <w:pPr>
        <w:pStyle w:val="30"/>
        <w:jc w:val="both"/>
        <w:rPr>
          <w:rFonts w:ascii="宋体" w:hAnsi="宋体"/>
          <w:color w:val="auto"/>
          <w:sz w:val="21"/>
          <w:szCs w:val="21"/>
        </w:rPr>
      </w:pPr>
      <w:r>
        <w:rPr>
          <w:rFonts w:hint="eastAsia" w:ascii="宋体" w:hAnsi="宋体"/>
          <w:color w:val="auto"/>
          <w:sz w:val="21"/>
          <w:szCs w:val="21"/>
        </w:rPr>
        <w:t>______________________________________________________________________________________</w:t>
      </w:r>
    </w:p>
    <w:p>
      <w:pPr>
        <w:rPr>
          <w:rFonts w:ascii="宋体" w:hAnsi="宋体"/>
          <w:kern w:val="0"/>
        </w:rPr>
      </w:pPr>
    </w:p>
    <w:p>
      <w:pPr>
        <w:rPr>
          <w:rFonts w:ascii="宋体" w:hAnsi="宋体"/>
          <w:kern w:val="0"/>
        </w:rPr>
      </w:pPr>
      <w:r>
        <w:rPr>
          <w:rFonts w:hint="eastAsia" w:ascii="宋体" w:hAnsi="宋体"/>
        </w:rPr>
        <w:t>投资者</w:t>
      </w:r>
      <w:r>
        <w:rPr>
          <w:rFonts w:hint="eastAsia" w:ascii="宋体" w:hAnsi="宋体"/>
          <w:kern w:val="0"/>
        </w:rPr>
        <w:t xml:space="preserve">（签字）：                                             日期：  </w:t>
      </w:r>
      <w:r>
        <w:rPr>
          <w:rFonts w:hint="eastAsia" w:ascii="宋体" w:hAnsi="宋体"/>
        </w:rPr>
        <w:t>年  月  日</w:t>
      </w:r>
    </w:p>
    <w:p>
      <w:pPr>
        <w:snapToGrid w:val="0"/>
        <w:rPr>
          <w:rFonts w:ascii="宋体" w:hAnsi="宋体"/>
          <w:kern w:val="0"/>
          <w:u w:val="single"/>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r>
        <w:rPr>
          <w:rFonts w:hint="eastAsia" w:ascii="宋体" w:hAnsi="宋体"/>
          <w:b/>
          <w:color w:val="auto"/>
          <w:sz w:val="21"/>
          <w:szCs w:val="21"/>
        </w:rPr>
        <w:t>投资者确认栏（机构投资者填写）</w:t>
      </w:r>
    </w:p>
    <w:p>
      <w:pPr>
        <w:pStyle w:val="30"/>
        <w:jc w:val="both"/>
        <w:rPr>
          <w:rFonts w:ascii="宋体" w:hAnsi="宋体"/>
          <w:b/>
          <w:bCs/>
          <w:color w:val="auto"/>
          <w:sz w:val="21"/>
          <w:szCs w:val="21"/>
        </w:rPr>
      </w:pPr>
      <w:r>
        <w:rPr>
          <w:rFonts w:hint="eastAsia" w:ascii="宋体" w:hAnsi="宋体"/>
          <w:b/>
          <w:bCs/>
          <w:color w:val="auto"/>
          <w:sz w:val="21"/>
          <w:szCs w:val="21"/>
        </w:rPr>
        <w:t>声明：我单位已充分阅读《投资者权益须知》、《杭银理财幸福99季添益理财计划产品说明书》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widowControl/>
        <w:contextualSpacing/>
        <w:outlineLvl w:val="0"/>
        <w:rPr>
          <w:rFonts w:ascii="宋体" w:hAnsi="宋体"/>
        </w:rPr>
      </w:pPr>
    </w:p>
    <w:p>
      <w:pPr>
        <w:pStyle w:val="30"/>
        <w:jc w:val="both"/>
        <w:rPr>
          <w:rFonts w:ascii="宋体" w:hAnsi="宋体"/>
          <w:color w:val="auto"/>
          <w:sz w:val="21"/>
          <w:szCs w:val="21"/>
        </w:rPr>
      </w:pPr>
    </w:p>
    <w:p>
      <w:pPr>
        <w:pStyle w:val="30"/>
        <w:jc w:val="both"/>
        <w:rPr>
          <w:rFonts w:ascii="宋体" w:hAnsi="宋体"/>
          <w:color w:val="auto"/>
          <w:sz w:val="21"/>
          <w:szCs w:val="21"/>
        </w:rPr>
      </w:pPr>
      <w:r>
        <w:rPr>
          <w:rFonts w:hint="eastAsia" w:ascii="宋体" w:hAnsi="宋体"/>
          <w:color w:val="auto"/>
          <w:sz w:val="21"/>
          <w:szCs w:val="21"/>
        </w:rPr>
        <w:t>投资者（公章）                            法定代表人或授权代理人（签章）</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ind w:firstLine="6405" w:firstLineChars="3050"/>
        <w:jc w:val="both"/>
        <w:rPr>
          <w:rFonts w:ascii="宋体" w:hAnsi="宋体"/>
          <w:color w:val="auto"/>
          <w:sz w:val="21"/>
          <w:szCs w:val="21"/>
        </w:rPr>
      </w:pPr>
      <w:r>
        <w:rPr>
          <w:rFonts w:hint="eastAsia" w:ascii="宋体" w:hAnsi="宋体"/>
          <w:color w:val="auto"/>
          <w:sz w:val="21"/>
          <w:szCs w:val="21"/>
        </w:rPr>
        <w:t>日期：  年  月  日</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bookmarkEnd w:id="1"/>
    <w:p>
      <w:r>
        <w:br w:type="page"/>
      </w:r>
    </w:p>
    <w:sectPr>
      <w:footerReference r:id="rId3" w:type="default"/>
      <w:pgSz w:w="11906" w:h="16838"/>
      <w:pgMar w:top="1440" w:right="1486" w:bottom="1440" w:left="1380" w:header="851" w:footer="992" w:gutter="0"/>
      <w:cols w:space="720" w:num="1"/>
      <w:docGrid w:type="lines" w:linePitch="312" w:charSpace="0"/>
    </w:sectPr>
    <w:p>
      <w:pPr>
        <w:spacing w:line="520" w:lineRule="exact"/>
        <w:jc w:val="center"/>
        <w:rPr>
          <w:rFonts w:cs="Times New Roman"/>
          <w:b/>
          <w:bCs/>
          <w:sz w:val="32"/>
          <w:szCs w:val="32"/>
        </w:rPr>
      </w:pPr>
      <w:r>
        <w:rPr>
          <w:rFonts w:hint="eastAsia" w:cs="宋体"/>
          <w:b/>
          <w:bCs/>
          <w:sz w:val="32"/>
          <w:szCs w:val="32"/>
        </w:rPr>
        <w:t>杭银理财幸福</w:t>
      </w:r>
      <w:r>
        <w:rPr>
          <w:b/>
          <w:bCs/>
          <w:sz w:val="32"/>
          <w:szCs w:val="32"/>
        </w:rPr>
        <w:t>99季</w:t>
      </w:r>
      <w:r>
        <w:rPr>
          <w:rFonts w:hint="eastAsia" w:cs="宋体"/>
          <w:b/>
          <w:bCs/>
          <w:sz w:val="32"/>
          <w:szCs w:val="32"/>
        </w:rPr>
        <w:t>添益19</w:t>
      </w:r>
      <w:r>
        <w:rPr>
          <w:rFonts w:hint="eastAsia" w:cs="宋体"/>
          <w:b/>
          <w:bCs/>
          <w:sz w:val="32"/>
          <w:szCs w:val="32"/>
          <w:lang w:val="en-US" w:eastAsia="zh-CN"/>
        </w:rPr>
        <w:t>05</w:t>
      </w:r>
      <w:r>
        <w:rPr>
          <w:rFonts w:hint="eastAsia" w:cs="宋体"/>
          <w:b/>
          <w:bCs/>
          <w:sz w:val="32"/>
          <w:szCs w:val="32"/>
        </w:rPr>
        <w:t>期理财计划产品说明书</w:t>
      </w:r>
    </w:p>
    <w:p>
      <w:pPr>
        <w:spacing w:line="520" w:lineRule="exact"/>
        <w:jc w:val="right"/>
      </w:pP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 xml:space="preserve"> 备案编号: </w:t>
      </w:r>
      <w:r>
        <w:rPr>
          <w:rFonts w:ascii="宋体" w:hAnsi="Wingdings" w:cs="宋体"/>
          <w:color w:val="000000"/>
          <w:kern w:val="0"/>
        </w:rPr>
        <w:t>Z70022210002</w:t>
      </w:r>
      <w:r>
        <w:rPr>
          <w:rFonts w:hint="eastAsia" w:ascii="宋体" w:hAnsi="Wingdings" w:cs="宋体"/>
          <w:color w:val="000000"/>
          <w:kern w:val="0"/>
          <w:lang w:val="en-US" w:eastAsia="zh-CN"/>
        </w:rPr>
        <w:t>76</w:t>
      </w:r>
    </w:p>
    <w:p>
      <w:pPr>
        <w:pStyle w:val="8"/>
        <w:numPr>
          <w:ilvl w:val="0"/>
          <w:numId w:val="1"/>
        </w:numPr>
        <w:spacing w:before="0" w:after="0" w:line="520" w:lineRule="exact"/>
        <w:jc w:val="both"/>
        <w:rPr>
          <w:sz w:val="28"/>
          <w:szCs w:val="28"/>
        </w:rPr>
      </w:pPr>
      <w:r>
        <w:rPr>
          <w:rFonts w:hint="eastAsia" w:cs="宋体"/>
          <w:sz w:val="28"/>
          <w:szCs w:val="28"/>
        </w:rPr>
        <w:t>重要须知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1.  本产品不等同于银行存款和预期收益型理财产品。 </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2.  本产品仅向依据中华人民共和国有关法律法规及本产品说明书规定可以购买本理财计划的投资者发售。</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3.  在购买本理财计划前，请投资者确保完全明白本理财计划的性质、其中涉及的风险以及投资者的自身情况。投资者若对本产品说明书的内容有任何疑问，请向管理人或销售机构咨询。 </w:t>
      </w:r>
    </w:p>
    <w:p>
      <w:pPr>
        <w:pStyle w:val="30"/>
        <w:adjustRightInd/>
        <w:spacing w:line="520" w:lineRule="exact"/>
        <w:ind w:firstLine="420" w:firstLineChars="200"/>
        <w:rPr>
          <w:rFonts w:hint="eastAsia" w:ascii="宋体" w:cs="Times New Roman"/>
          <w:sz w:val="21"/>
          <w:szCs w:val="21"/>
        </w:rPr>
      </w:pPr>
      <w:r>
        <w:rPr>
          <w:rFonts w:hint="eastAsia" w:ascii="宋体" w:cs="宋体"/>
          <w:bCs/>
          <w:sz w:val="21"/>
          <w:szCs w:val="21"/>
        </w:rPr>
        <w:t xml:space="preserve">4.  </w:t>
      </w:r>
      <w:r>
        <w:rPr>
          <w:rFonts w:hint="eastAsia" w:ascii="宋体" w:cs="宋体"/>
          <w:b/>
          <w:sz w:val="21"/>
          <w:szCs w:val="21"/>
        </w:rPr>
        <w:t>本产品是非保本净值型产品。管理人对本理财产品的本金和收益不提供保证承诺。</w:t>
      </w:r>
      <w:r>
        <w:rPr>
          <w:rFonts w:hint="eastAsia" w:ascii="宋体" w:cs="宋体"/>
          <w:sz w:val="21"/>
          <w:szCs w:val="21"/>
        </w:rPr>
        <w:t>您应充分认识投资风险，谨慎投资。本产品主要风险为理财本金及收益风险，</w:t>
      </w:r>
      <w:r>
        <w:rPr>
          <w:rFonts w:hint="eastAsia" w:ascii="宋体" w:cs="宋体"/>
          <w:b/>
          <w:sz w:val="21"/>
          <w:szCs w:val="21"/>
        </w:rPr>
        <w:t>在极端市场情况下，投资者将损失本金。</w:t>
      </w:r>
      <w:r>
        <w:rPr>
          <w:rFonts w:hint="eastAsia" w:ascii="宋体" w:cs="宋体"/>
          <w:sz w:val="21"/>
          <w:szCs w:val="21"/>
        </w:rPr>
        <w:t>请投资者基于自身的独立判断进行投资决策。</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5.  投资者签署理财合约购买本产品前，应当仔细阅读本说明书及其他相关销售文件的全部内容，同时向管理人或销售机构了解本产品的具体信息，确保自身完全了解该项投资的性质、投资所涉及的风险以及自身的风险承受能力，在慎重考虑后独立做出认购决定。本说明书及投资者签署的《</w:t>
      </w:r>
      <w:r>
        <w:rPr>
          <w:rFonts w:hint="eastAsia" w:ascii="宋体" w:cs="宋体"/>
          <w:sz w:val="21"/>
          <w:szCs w:val="21"/>
          <w:lang w:val="en-US" w:eastAsia="zh-CN"/>
        </w:rPr>
        <w:t>杭银理财</w:t>
      </w:r>
      <w:r>
        <w:rPr>
          <w:rFonts w:hint="eastAsia" w:ascii="宋体" w:cs="宋体"/>
          <w:sz w:val="21"/>
          <w:szCs w:val="21"/>
        </w:rPr>
        <w:t>理财</w:t>
      </w:r>
      <w:r>
        <w:rPr>
          <w:rFonts w:hint="eastAsia" w:ascii="宋体" w:cs="宋体"/>
          <w:sz w:val="21"/>
          <w:szCs w:val="21"/>
          <w:lang w:val="en-US" w:eastAsia="zh-CN"/>
        </w:rPr>
        <w:t>计划投资</w:t>
      </w:r>
      <w:r>
        <w:rPr>
          <w:rFonts w:hint="eastAsia" w:ascii="宋体" w:cs="宋体"/>
          <w:sz w:val="21"/>
          <w:szCs w:val="21"/>
        </w:rPr>
        <w:t>协议书》</w:t>
      </w:r>
      <w:r>
        <w:rPr>
          <w:rFonts w:hint="eastAsia" w:ascii="宋体" w:cs="宋体"/>
          <w:sz w:val="21"/>
          <w:szCs w:val="21"/>
          <w:lang w:eastAsia="zh-CN"/>
        </w:rPr>
        <w:t>、《</w:t>
      </w:r>
      <w:r>
        <w:rPr>
          <w:rFonts w:hint="eastAsia" w:ascii="宋体" w:cs="宋体"/>
          <w:sz w:val="21"/>
          <w:szCs w:val="21"/>
          <w:lang w:val="en-US" w:eastAsia="zh-CN"/>
        </w:rPr>
        <w:t>杭银理财理财计划销售协议书</w:t>
      </w:r>
      <w:r>
        <w:rPr>
          <w:rFonts w:hint="eastAsia" w:ascii="宋体" w:cs="宋体"/>
          <w:sz w:val="21"/>
          <w:szCs w:val="21"/>
          <w:lang w:eastAsia="zh-CN"/>
        </w:rPr>
        <w:t>》</w:t>
      </w:r>
      <w:r>
        <w:rPr>
          <w:rFonts w:hint="eastAsia" w:ascii="宋体" w:cs="宋体"/>
          <w:sz w:val="21"/>
          <w:szCs w:val="21"/>
        </w:rPr>
        <w:t>、《杭银理财幸福</w:t>
      </w:r>
      <w:r>
        <w:rPr>
          <w:rFonts w:ascii="宋体" w:cs="宋体"/>
          <w:sz w:val="21"/>
          <w:szCs w:val="21"/>
        </w:rPr>
        <w:t>99</w:t>
      </w:r>
      <w:r>
        <w:rPr>
          <w:rFonts w:hint="eastAsia" w:ascii="宋体" w:cs="宋体"/>
          <w:sz w:val="21"/>
          <w:szCs w:val="21"/>
        </w:rPr>
        <w:t>添益系列理财计划风险揭示书》、《投资者权益须知》，将共同构成投资者与管理人之间的理财计划交易合同。</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6.  投资者在购买本产品后，应随时关注本产品的信息披露情况，及时获取相关信息。如对本产品有任何疑问、异议或意见，请联系管理人或销售机构。</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7.  投资者承诺其用于购买理财计划的资金来源合法合规，不存在使用贷款、发行债券等筹集的非自有资金投资本理财产品的情形。</w:t>
      </w:r>
    </w:p>
    <w:p>
      <w:pPr>
        <w:spacing w:line="360" w:lineRule="auto"/>
        <w:ind w:firstLine="424" w:firstLineChars="202"/>
        <w:rPr>
          <w:rFonts w:ascii="宋体" w:cs="宋体"/>
        </w:rPr>
      </w:pPr>
      <w:r>
        <w:rPr>
          <w:rFonts w:hint="eastAsia" w:ascii="宋体" w:cs="宋体"/>
        </w:rPr>
        <w:t>8.</w:t>
      </w:r>
      <w:r>
        <w:rPr>
          <w:rFonts w:hint="eastAsia" w:ascii="宋体" w:hAnsi="Wingdings" w:cs="宋体"/>
          <w:color w:val="000000"/>
          <w:kern w:val="0"/>
        </w:rPr>
        <w:t xml:space="preserve"> 杭银理财及销售机构将依据相关法律、法规严格履行投资者信息保密责任，除监管机构或司法机关等有权机构外，不得对其他第三方商业机构提供任何投资者信息。</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9. 在本产品存续期内，如因监管政策或法律法规发生变化，在不损害投资者利益的前提下，管理人有权单方对本产品说明书条款进行修订。</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10. 管理人有权依法对本产品说明书进行解释。</w:t>
      </w:r>
    </w:p>
    <w:p>
      <w:pPr>
        <w:pStyle w:val="8"/>
        <w:numPr>
          <w:ilvl w:val="0"/>
          <w:numId w:val="1"/>
        </w:numPr>
        <w:spacing w:before="0" w:after="0" w:line="520" w:lineRule="exact"/>
        <w:jc w:val="both"/>
        <w:rPr>
          <w:sz w:val="28"/>
          <w:szCs w:val="28"/>
        </w:rPr>
      </w:pPr>
      <w:r>
        <w:rPr>
          <w:rFonts w:hint="eastAsia" w:cs="宋体"/>
          <w:sz w:val="28"/>
          <w:szCs w:val="28"/>
        </w:rPr>
        <w:t>释义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本说明书中，除非另有明确说明，否则下列词语或简称具有如下含义：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产品/理财计划：指</w:t>
      </w:r>
      <w:bookmarkStart w:id="0" w:name="OLE_LINK3"/>
      <w:r>
        <w:rPr>
          <w:rFonts w:hint="eastAsia" w:ascii="宋体" w:hAnsi="宋体" w:cs="宋体"/>
          <w:sz w:val="21"/>
          <w:szCs w:val="21"/>
        </w:rPr>
        <w:t>杭银理财幸福99季添益19</w:t>
      </w:r>
      <w:r>
        <w:rPr>
          <w:rFonts w:hint="eastAsia" w:ascii="宋体" w:hAnsi="宋体" w:cs="宋体"/>
          <w:sz w:val="21"/>
          <w:szCs w:val="21"/>
          <w:lang w:val="en-US" w:eastAsia="zh-CN"/>
        </w:rPr>
        <w:t>05</w:t>
      </w:r>
      <w:r>
        <w:rPr>
          <w:rFonts w:hint="eastAsia" w:ascii="宋体" w:hAnsi="宋体" w:cs="宋体"/>
          <w:sz w:val="21"/>
          <w:szCs w:val="21"/>
        </w:rPr>
        <w:t>期理财计划</w:t>
      </w:r>
      <w:bookmarkEnd w:id="0"/>
      <w:r>
        <w:rPr>
          <w:rFonts w:hint="eastAsia" w:ascii="宋体" w:hAnsi="宋体" w:cs="宋体"/>
          <w:sz w:val="21"/>
          <w:szCs w:val="21"/>
        </w:rPr>
        <w:t>。</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产品管理人：指杭银理财有限责任公司。杭银理财有限责任公司是杭州银行全资子公司</w:t>
      </w:r>
      <w:r>
        <w:rPr>
          <w:rFonts w:ascii="宋体" w:hAnsi="宋体" w:cs="宋体"/>
          <w:sz w:val="21"/>
          <w:szCs w:val="21"/>
        </w:rPr>
        <w:t>，注册地在杭州。杭银理财有限责任公司</w:t>
      </w:r>
      <w:r>
        <w:rPr>
          <w:rFonts w:hint="eastAsia" w:ascii="宋体" w:hAnsi="宋体" w:cs="宋体"/>
          <w:sz w:val="21"/>
          <w:szCs w:val="21"/>
        </w:rPr>
        <w:t>前身是杭州银行总行资产管理部,</w:t>
      </w:r>
      <w:r>
        <w:rPr>
          <w:rFonts w:ascii="宋体" w:hAnsi="宋体" w:cs="宋体"/>
          <w:sz w:val="21"/>
          <w:szCs w:val="21"/>
        </w:rPr>
        <w:t>主要从事面向不特定社会公众公开发行理财产品、面向合格投资者非公开发行理财产品、理财顾问和咨询服务等相关业务。</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销售机构：包含但不限于杭州银行股份有限公司等其他银行业金融机构或者国务院银行业监督管理机构认可的其他机构。杭州银行股份有限公司简称杭州银行，官方网站</w:t>
      </w:r>
      <w:r>
        <w:fldChar w:fldCharType="begin"/>
      </w:r>
      <w:r>
        <w:instrText xml:space="preserve"> HYPERLINK "http://www.hzbank.com.cn，客服热线为" </w:instrText>
      </w:r>
      <w:r>
        <w:fldChar w:fldCharType="separate"/>
      </w:r>
      <w:r>
        <w:rPr>
          <w:rStyle w:val="16"/>
          <w:rFonts w:hint="eastAsia" w:ascii="宋体" w:hAnsi="宋体"/>
          <w:sz w:val="21"/>
          <w:szCs w:val="21"/>
        </w:rPr>
        <w:t>www.hzbank.com.cn</w:t>
      </w:r>
      <w:r>
        <w:rPr>
          <w:rFonts w:hint="eastAsia" w:ascii="宋体" w:hAnsi="宋体"/>
          <w:sz w:val="21"/>
          <w:szCs w:val="21"/>
        </w:rPr>
        <w:t>，客服热线为</w:t>
      </w:r>
      <w:r>
        <w:rPr>
          <w:rFonts w:hint="eastAsia" w:ascii="宋体" w:hAnsi="宋体"/>
          <w:sz w:val="21"/>
          <w:szCs w:val="21"/>
        </w:rPr>
        <w:fldChar w:fldCharType="end"/>
      </w:r>
      <w:r>
        <w:rPr>
          <w:rFonts w:hint="eastAsia" w:ascii="宋体" w:hAnsi="宋体" w:cs="宋体"/>
          <w:sz w:val="21"/>
          <w:szCs w:val="21"/>
        </w:rPr>
        <w:t>95398。</w:t>
      </w:r>
    </w:p>
    <w:p>
      <w:pPr>
        <w:pStyle w:val="30"/>
        <w:adjustRightInd/>
        <w:spacing w:line="520" w:lineRule="exact"/>
        <w:ind w:firstLine="420" w:firstLineChars="200"/>
        <w:rPr>
          <w:rFonts w:hint="eastAsia" w:ascii="宋体" w:hAnsi="宋体" w:cs="宋体"/>
          <w:sz w:val="21"/>
          <w:szCs w:val="21"/>
        </w:rPr>
      </w:pPr>
      <w:r>
        <w:rPr>
          <w:rFonts w:hint="eastAsia" w:ascii="宋体" w:hAnsi="宋体" w:cs="宋体"/>
          <w:sz w:val="21"/>
          <w:szCs w:val="21"/>
        </w:rPr>
        <w:t>产品托管人：指杭州银行股份有限公司。</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理财产品认购期：是指管理人接受投资者认购本理财产品的起止期限。</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确认日：本理财产品确认日指本产品每次开放期结束后的第一个工作日。</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工作日：除双休日和国家法定假日外的法定工作日。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投资周期：本理财产品第一个投资周期是指产品成立日（含）至第一个产品确认日（不含）之间的时间，其后每个投资周期是指确认日（含）至下一个确认日（不含）之间的时间。</w:t>
      </w:r>
    </w:p>
    <w:p>
      <w:pPr>
        <w:pStyle w:val="8"/>
        <w:numPr>
          <w:ilvl w:val="0"/>
          <w:numId w:val="1"/>
        </w:numPr>
        <w:spacing w:before="0" w:after="0" w:line="520" w:lineRule="exact"/>
        <w:jc w:val="both"/>
        <w:rPr>
          <w:sz w:val="28"/>
          <w:szCs w:val="28"/>
        </w:rPr>
      </w:pPr>
      <w:r>
        <w:rPr>
          <w:rFonts w:hint="eastAsia" w:cs="宋体"/>
          <w:sz w:val="28"/>
          <w:szCs w:val="28"/>
        </w:rPr>
        <w:t>产品风险等级：</w:t>
      </w:r>
      <w:r>
        <w:rPr>
          <w:sz w:val="28"/>
          <w:szCs w:val="28"/>
        </w:rPr>
        <w:t>R2</w:t>
      </w:r>
    </w:p>
    <w:p>
      <w:pPr>
        <w:pStyle w:val="30"/>
        <w:spacing w:line="360" w:lineRule="auto"/>
        <w:rPr>
          <w:rFonts w:ascii="宋体" w:eastAsia="Times New Roman" w:cs="Times New Roman"/>
          <w:sz w:val="22"/>
          <w:szCs w:val="22"/>
        </w:rPr>
      </w:pPr>
      <w:r>
        <w:drawing>
          <wp:inline distT="0" distB="0" distL="0" distR="0">
            <wp:extent cx="5280660" cy="26517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81118" cy="2651990"/>
                    </a:xfrm>
                    <a:prstGeom prst="rect">
                      <a:avLst/>
                    </a:prstGeom>
                  </pic:spPr>
                </pic:pic>
              </a:graphicData>
            </a:graphic>
          </wp:inline>
        </w:drawing>
      </w:r>
    </w:p>
    <w:p>
      <w:pPr>
        <w:pStyle w:val="30"/>
        <w:adjustRightInd/>
        <w:spacing w:line="520" w:lineRule="exact"/>
        <w:ind w:firstLine="420" w:firstLineChars="200"/>
        <w:rPr>
          <w:rFonts w:hint="eastAsia" w:ascii="宋体" w:cs="宋体"/>
          <w:b/>
          <w:sz w:val="21"/>
          <w:szCs w:val="21"/>
        </w:rPr>
      </w:pPr>
      <w:r>
        <w:rPr>
          <w:rFonts w:hint="eastAsia" w:ascii="宋体" w:cs="宋体"/>
          <w:sz w:val="21"/>
          <w:szCs w:val="21"/>
        </w:rPr>
        <w:t>产品风险评级由管理人根据产品投资对象、实际的风险控制情况、投资运作情况等合理确定。根据管理人内部风险评级标准，本产品的风险等级为</w:t>
      </w:r>
      <w:r>
        <w:rPr>
          <w:rFonts w:hint="eastAsia" w:ascii="宋体" w:cs="宋体"/>
          <w:b/>
          <w:bCs/>
          <w:sz w:val="21"/>
          <w:szCs w:val="21"/>
        </w:rPr>
        <w:t>R2</w:t>
      </w:r>
      <w:r>
        <w:rPr>
          <w:rFonts w:hint="eastAsia" w:ascii="宋体" w:cs="宋体"/>
          <w:sz w:val="21"/>
          <w:szCs w:val="21"/>
        </w:rPr>
        <w:t>，中低风险。</w:t>
      </w:r>
      <w:r>
        <w:rPr>
          <w:rFonts w:hint="eastAsia" w:ascii="宋体" w:cs="宋体"/>
          <w:b/>
          <w:sz w:val="21"/>
          <w:szCs w:val="21"/>
        </w:rPr>
        <w:t>该评级仅是管理人内部测评结果，仅供投资者参考，不具有任何法律约束力。</w:t>
      </w:r>
    </w:p>
    <w:p>
      <w:pPr>
        <w:pStyle w:val="8"/>
        <w:numPr>
          <w:ilvl w:val="0"/>
          <w:numId w:val="1"/>
        </w:numPr>
        <w:spacing w:before="0" w:after="0" w:line="520" w:lineRule="exact"/>
        <w:jc w:val="both"/>
        <w:rPr>
          <w:rFonts w:cs="宋体"/>
          <w:sz w:val="28"/>
          <w:szCs w:val="28"/>
        </w:rPr>
      </w:pPr>
      <w:r>
        <w:rPr>
          <w:rFonts w:hint="eastAsia" w:cs="宋体"/>
          <w:sz w:val="28"/>
          <w:szCs w:val="28"/>
        </w:rPr>
        <w:t>产品概述</w:t>
      </w:r>
    </w:p>
    <w:tbl>
      <w:tblPr>
        <w:tblStyle w:val="13"/>
        <w:tblW w:w="89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13"/>
        <w:gridCol w:w="7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产品名称</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杭银理财幸福</w:t>
            </w:r>
            <w:r>
              <w:rPr>
                <w:rFonts w:ascii="宋体" w:hAnsi="宋体" w:cs="宋体"/>
                <w:color w:val="000000"/>
                <w:kern w:val="0"/>
              </w:rPr>
              <w:t>99</w:t>
            </w:r>
            <w:r>
              <w:rPr>
                <w:rFonts w:hint="eastAsia" w:ascii="宋体" w:hAnsi="宋体" w:cs="宋体"/>
                <w:color w:val="000000"/>
                <w:kern w:val="0"/>
              </w:rPr>
              <w:t>季添益19</w:t>
            </w:r>
            <w:r>
              <w:rPr>
                <w:rFonts w:hint="eastAsia" w:ascii="宋体" w:hAnsi="宋体" w:cs="宋体"/>
                <w:color w:val="000000"/>
                <w:kern w:val="0"/>
                <w:lang w:val="en-US" w:eastAsia="zh-CN"/>
              </w:rPr>
              <w:t>05</w:t>
            </w:r>
            <w:r>
              <w:rPr>
                <w:rFonts w:hint="eastAsia" w:ascii="宋体" w:hAnsi="宋体" w:cs="宋体"/>
                <w:color w:val="000000"/>
                <w:kern w:val="0"/>
              </w:rPr>
              <w:t>期理财计划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产品编号</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3M19</w:t>
            </w:r>
            <w:r>
              <w:rPr>
                <w:rFonts w:hint="eastAsia" w:ascii="宋体" w:hAnsi="宋体" w:cs="宋体"/>
                <w:color w:val="000000"/>
                <w:kern w:val="0"/>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产品登记编码</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该产品在全国银行业理财信息登记系统的原登记编码是C1092019000766，</w:t>
            </w:r>
            <w:r>
              <w:rPr>
                <w:rFonts w:hint="eastAsia" w:ascii="宋体" w:hAnsi="宋体" w:cs="宋体"/>
              </w:rPr>
              <w:t>变更登记后为〖</w:t>
            </w:r>
            <w:r>
              <w:rPr>
                <w:rFonts w:ascii="宋体" w:hAnsi="宋体" w:cs="宋体"/>
              </w:rPr>
              <w:t>Z70022210002</w:t>
            </w:r>
            <w:r>
              <w:rPr>
                <w:rFonts w:hint="eastAsia" w:ascii="宋体" w:hAnsi="宋体" w:cs="宋体"/>
                <w:lang w:val="en-US" w:eastAsia="zh-CN"/>
              </w:rPr>
              <w:t>76</w:t>
            </w:r>
            <w:r>
              <w:rPr>
                <w:rFonts w:hint="eastAsia" w:ascii="宋体" w:hAnsi="宋体" w:cs="宋体"/>
              </w:rPr>
              <w:t>〗。</w:t>
            </w:r>
            <w:r>
              <w:rPr>
                <w:rFonts w:hint="eastAsia" w:ascii="宋体" w:hAnsi="宋体" w:cs="宋体"/>
                <w:color w:val="000000"/>
                <w:kern w:val="0"/>
              </w:rPr>
              <w:t>投资者可依据该编码在“中国理财网（</w:t>
            </w:r>
            <w:r>
              <w:rPr>
                <w:rFonts w:ascii="宋体" w:hAnsi="宋体" w:cs="宋体"/>
                <w:color w:val="000000"/>
                <w:kern w:val="0"/>
              </w:rPr>
              <w:t>www.chinawealth.com.cn</w:t>
            </w:r>
            <w:r>
              <w:rPr>
                <w:rFonts w:hint="eastAsia" w:ascii="宋体" w:hAnsi="宋体" w:cs="宋体"/>
                <w:color w:val="000000"/>
                <w:kern w:val="0"/>
              </w:rPr>
              <w:t>）”查询该产品信息。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发行对象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hint="eastAsia" w:ascii="宋体" w:hAnsi="宋体" w:cs="宋体"/>
                <w:color w:val="000000"/>
                <w:kern w:val="0"/>
              </w:rPr>
            </w:pPr>
            <w:r>
              <w:rPr>
                <w:rFonts w:hint="eastAsia" w:ascii="宋体" w:hAnsi="宋体" w:cs="宋体"/>
                <w:color w:val="000000"/>
                <w:kern w:val="0"/>
              </w:rPr>
              <w:t>本理财产品适合机构投资者及稳健型、平衡型、成长型、进取型的个人投资者。(法律、法规和有关规定禁止购买者除外)。</w:t>
            </w:r>
          </w:p>
          <w:p>
            <w:pPr>
              <w:widowControl/>
              <w:spacing w:line="300" w:lineRule="auto"/>
              <w:contextualSpacing/>
              <w:rPr>
                <w:rFonts w:hint="eastAsia" w:ascii="宋体" w:hAnsi="宋体"/>
                <w:color w:val="000000"/>
              </w:rPr>
            </w:pPr>
            <w:r>
              <w:rPr>
                <w:rFonts w:hint="eastAsia" w:ascii="宋体" w:hAnsi="宋体"/>
                <w:color w:val="000000"/>
              </w:rPr>
              <w:t>A份额（销售代码【</w:t>
            </w: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w:t>
            </w:r>
            <w:r>
              <w:rPr>
                <w:rFonts w:hint="eastAsia" w:ascii="宋体" w:hAnsi="宋体" w:cs="宋体"/>
                <w:color w:val="000000"/>
                <w:kern w:val="0"/>
                <w:lang w:val="en-US" w:eastAsia="zh-CN"/>
              </w:rPr>
              <w:t>1905</w:t>
            </w:r>
            <w:r>
              <w:rPr>
                <w:rFonts w:hint="eastAsia" w:ascii="宋体" w:hAnsi="宋体"/>
                <w:color w:val="000000"/>
              </w:rPr>
              <w:t>】</w:t>
            </w:r>
            <w:r>
              <w:rPr>
                <w:rFonts w:ascii="宋体" w:hAnsi="宋体"/>
                <w:color w:val="000000"/>
              </w:rPr>
              <w:t>）</w:t>
            </w:r>
            <w:r>
              <w:rPr>
                <w:rFonts w:hint="eastAsia" w:ascii="宋体" w:hAnsi="宋体"/>
                <w:color w:val="000000"/>
              </w:rPr>
              <w:t>：</w:t>
            </w:r>
            <w:r>
              <w:rPr>
                <w:rFonts w:ascii="宋体" w:hAnsi="宋体"/>
                <w:color w:val="000000"/>
              </w:rPr>
              <w:t>普通</w:t>
            </w:r>
            <w:r>
              <w:rPr>
                <w:rFonts w:hint="eastAsia" w:ascii="宋体" w:hAnsi="宋体"/>
                <w:color w:val="000000"/>
              </w:rPr>
              <w:t>个人投资者和机构客户。</w:t>
            </w:r>
          </w:p>
          <w:p>
            <w:pPr>
              <w:rPr>
                <w:rFonts w:hint="eastAsia" w:ascii="宋体" w:hAnsi="宋体" w:cs="宋体"/>
                <w:color w:val="000000"/>
                <w:kern w:val="0"/>
              </w:rPr>
            </w:pPr>
            <w:r>
              <w:rPr>
                <w:rFonts w:hint="eastAsia" w:ascii="宋体" w:hAnsi="宋体"/>
                <w:color w:val="000000"/>
                <w:lang w:val="en-US" w:eastAsia="zh-CN"/>
              </w:rPr>
              <w:t>B</w:t>
            </w:r>
            <w:r>
              <w:rPr>
                <w:rFonts w:hint="eastAsia" w:ascii="宋体" w:hAnsi="宋体"/>
                <w:color w:val="000000"/>
              </w:rPr>
              <w:t>份额（销售代码【</w:t>
            </w: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w:t>
            </w:r>
            <w:r>
              <w:rPr>
                <w:rFonts w:hint="eastAsia" w:ascii="宋体" w:hAnsi="宋体" w:cs="宋体"/>
                <w:color w:val="000000"/>
                <w:kern w:val="0"/>
                <w:lang w:val="en-US" w:eastAsia="zh-CN"/>
              </w:rPr>
              <w:t>1905B</w:t>
            </w:r>
            <w:r>
              <w:rPr>
                <w:rFonts w:hint="eastAsia" w:ascii="宋体" w:hAnsi="宋体"/>
                <w:color w:val="000000"/>
              </w:rPr>
              <w:t>】）：高净值等特邀客户专属</w:t>
            </w:r>
            <w:r>
              <w:rPr>
                <w:rFonts w:hint="eastAsia" w:ascii="宋体" w:hAnsi="宋体" w:cs="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销售范围</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销售渠道</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可通过销售机构的营业网点、网上银行、手机银行、直销银行等渠道购买。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交易币种</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产品类型</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定期开放式净值型理财产品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募集方式</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投资性质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固定收益类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产品规模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规模下限为0.2亿元，产品规模上限在每个开放期进行调整，首次认购期规模上限为1</w:t>
            </w:r>
            <w:r>
              <w:rPr>
                <w:rFonts w:hint="eastAsia" w:ascii="宋体" w:hAnsi="宋体" w:cs="宋体"/>
                <w:color w:val="000000"/>
                <w:kern w:val="0"/>
                <w:lang w:val="en-US" w:eastAsia="zh-CN"/>
              </w:rPr>
              <w:t>0</w:t>
            </w:r>
            <w:r>
              <w:rPr>
                <w:rFonts w:hint="eastAsia" w:ascii="宋体" w:hAnsi="宋体" w:cs="宋体"/>
                <w:color w:val="000000"/>
                <w:kern w:val="0"/>
              </w:rPr>
              <w:t>亿元。若认购金额未达规模下限则管理人有权决定产品不成立，若认购</w:t>
            </w:r>
            <w:r>
              <w:rPr>
                <w:rFonts w:ascii="宋体" w:hAnsi="宋体" w:cs="宋体"/>
                <w:color w:val="000000"/>
                <w:kern w:val="0"/>
              </w:rPr>
              <w:t>/</w:t>
            </w:r>
            <w:r>
              <w:rPr>
                <w:rFonts w:hint="eastAsia" w:ascii="宋体" w:hAnsi="宋体" w:cs="宋体"/>
                <w:color w:val="000000"/>
                <w:kern w:val="0"/>
              </w:rPr>
              <w:t>申购金额超出规模上限，则管理人有权暂停接受认购或申购申请。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产品认购期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highlight w:val="none"/>
              </w:rPr>
              <w:t>2019年6月19日至2019年6月25日</w:t>
            </w:r>
            <w:r>
              <w:rPr>
                <w:rFonts w:hint="eastAsia" w:ascii="宋体" w:hAnsi="宋体" w:cs="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起点认购</w:t>
            </w:r>
            <w:r>
              <w:rPr>
                <w:rFonts w:ascii="宋体" w:hAnsi="宋体" w:cs="宋体"/>
                <w:color w:val="000000"/>
                <w:kern w:val="0"/>
              </w:rPr>
              <w:t>/</w:t>
            </w:r>
            <w:r>
              <w:rPr>
                <w:rFonts w:hint="eastAsia" w:ascii="宋体" w:hAnsi="宋体" w:cs="宋体"/>
                <w:color w:val="000000"/>
                <w:kern w:val="0"/>
              </w:rPr>
              <w:t>申购金额</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hint="eastAsia" w:ascii="宋体" w:hAnsi="宋体" w:cs="宋体"/>
                <w:color w:val="000000"/>
                <w:kern w:val="0"/>
              </w:rPr>
            </w:pPr>
            <w:r>
              <w:rPr>
                <w:rFonts w:hint="eastAsia" w:ascii="宋体" w:hAnsi="宋体" w:cs="宋体"/>
                <w:color w:val="000000"/>
                <w:kern w:val="0"/>
                <w:lang w:val="en-US" w:eastAsia="zh-CN"/>
              </w:rPr>
              <w:t>A份额：</w:t>
            </w:r>
            <w:r>
              <w:rPr>
                <w:rFonts w:hint="eastAsia" w:ascii="宋体" w:hAnsi="宋体" w:cs="宋体"/>
                <w:color w:val="000000"/>
                <w:kern w:val="0"/>
              </w:rPr>
              <w:t>首次认购</w:t>
            </w:r>
            <w:r>
              <w:rPr>
                <w:rFonts w:ascii="宋体" w:hAnsi="宋体" w:cs="宋体"/>
                <w:color w:val="000000"/>
                <w:kern w:val="0"/>
              </w:rPr>
              <w:t>/</w:t>
            </w:r>
            <w:r>
              <w:rPr>
                <w:rFonts w:hint="eastAsia" w:ascii="宋体" w:hAnsi="宋体" w:cs="宋体"/>
                <w:color w:val="000000"/>
                <w:kern w:val="0"/>
              </w:rPr>
              <w:t>申购起点金额1元整，超过起点部分，应为1元的整数倍。</w:t>
            </w:r>
            <w:r>
              <w:rPr>
                <w:rFonts w:hint="eastAsia" w:ascii="宋体" w:hAnsi="宋体"/>
                <w:color w:val="000000"/>
                <w:szCs w:val="21"/>
              </w:rPr>
              <w:t>（具体以代销机构销售要素为准）</w:t>
            </w:r>
          </w:p>
          <w:p>
            <w:pPr>
              <w:rPr>
                <w:rFonts w:hint="default" w:ascii="宋体" w:hAnsi="宋体" w:eastAsia="宋体" w:cs="宋体"/>
                <w:color w:val="000000"/>
                <w:kern w:val="0"/>
                <w:lang w:val="en-US" w:eastAsia="zh-CN"/>
              </w:rPr>
            </w:pPr>
            <w:r>
              <w:rPr>
                <w:rFonts w:hint="eastAsia" w:ascii="宋体" w:hAnsi="宋体" w:cs="宋体"/>
                <w:color w:val="000000"/>
                <w:kern w:val="0"/>
                <w:lang w:val="en-US" w:eastAsia="zh-CN"/>
              </w:rPr>
              <w:t>B份额：</w:t>
            </w:r>
            <w:r>
              <w:rPr>
                <w:rFonts w:hint="eastAsia" w:ascii="宋体" w:hAnsi="宋体" w:cs="宋体"/>
                <w:color w:val="000000"/>
                <w:kern w:val="0"/>
              </w:rPr>
              <w:t>首次认购</w:t>
            </w:r>
            <w:r>
              <w:rPr>
                <w:rFonts w:ascii="宋体" w:hAnsi="宋体" w:cs="宋体"/>
                <w:color w:val="000000"/>
                <w:kern w:val="0"/>
              </w:rPr>
              <w:t>/</w:t>
            </w:r>
            <w:r>
              <w:rPr>
                <w:rFonts w:hint="eastAsia" w:ascii="宋体" w:hAnsi="宋体" w:cs="宋体"/>
                <w:color w:val="000000"/>
                <w:kern w:val="0"/>
              </w:rPr>
              <w:t>申购起点金额</w:t>
            </w:r>
            <w:r>
              <w:rPr>
                <w:rFonts w:hint="eastAsia" w:ascii="宋体" w:hAnsi="宋体" w:cs="宋体"/>
                <w:color w:val="000000"/>
                <w:kern w:val="0"/>
                <w:lang w:val="en-US" w:eastAsia="zh-CN"/>
              </w:rPr>
              <w:t>20万</w:t>
            </w:r>
            <w:r>
              <w:rPr>
                <w:rFonts w:hint="eastAsia" w:ascii="宋体" w:hAnsi="宋体" w:cs="宋体"/>
                <w:color w:val="000000"/>
                <w:kern w:val="0"/>
              </w:rPr>
              <w:t>元整，超过起点部分，应为1元的整数倍。</w:t>
            </w:r>
            <w:r>
              <w:rPr>
                <w:rFonts w:hint="eastAsia" w:ascii="宋体" w:hAnsi="宋体"/>
                <w:color w:val="000000"/>
                <w:szCs w:val="21"/>
              </w:rPr>
              <w:t>（具体以代销机构销售要素为准）</w:t>
            </w:r>
          </w:p>
          <w:p>
            <w:pPr>
              <w:rPr>
                <w:rFonts w:ascii="宋体" w:hAnsi="宋体" w:cs="宋体"/>
                <w:color w:val="000000"/>
                <w:kern w:val="0"/>
              </w:rPr>
            </w:pPr>
            <w:r>
              <w:rPr>
                <w:rFonts w:hint="eastAsia" w:ascii="宋体" w:hAnsi="宋体" w:cs="宋体"/>
                <w:color w:val="000000"/>
                <w:kern w:val="0"/>
              </w:rPr>
              <w:t>投资者全额赎回不再持有本产品份额后再次申购，视同首次申购处理。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产品成立日</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highlight w:val="none"/>
              </w:rPr>
              <w:t>2019年6月26日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理财期限</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产品开放期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产品每三个月开放一次。开放期为产品确认日前5-7个工作日，具体开放时间以公告为准，开放期公告将通过管理人或者销售机构网站发布。</w:t>
            </w:r>
          </w:p>
          <w:p>
            <w:pPr>
              <w:rPr>
                <w:rFonts w:ascii="宋体" w:hAnsi="宋体" w:cs="宋体"/>
                <w:color w:val="000000"/>
                <w:kern w:val="0"/>
              </w:rPr>
            </w:pPr>
            <w:r>
              <w:rPr>
                <w:rFonts w:hint="eastAsia" w:ascii="宋体" w:hAnsi="宋体" w:cs="宋体"/>
                <w:color w:val="000000"/>
                <w:kern w:val="0"/>
              </w:rPr>
              <w:t>首次开放期为2019年9月19日至2019年9月25日，首个确认日为2019年9月26日。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1.认购期内的工作时间可以提出认购申请。</w:t>
            </w:r>
          </w:p>
          <w:p>
            <w:pPr>
              <w:rPr>
                <w:rFonts w:ascii="宋体" w:hAnsi="宋体" w:cs="宋体"/>
                <w:color w:val="000000"/>
                <w:kern w:val="0"/>
              </w:rPr>
            </w:pPr>
            <w:r>
              <w:rPr>
                <w:rFonts w:hint="eastAsia" w:ascii="宋体" w:hAnsi="宋体" w:cs="宋体"/>
                <w:color w:val="000000"/>
                <w:kern w:val="0"/>
              </w:rPr>
              <w:t>2.本产品在每个开放期的工作时间都可以进行申购和赎回，申购和赎回申请将在本次开放期后的第一个确认日确认。</w:t>
            </w:r>
          </w:p>
          <w:p>
            <w:pPr>
              <w:rPr>
                <w:rFonts w:ascii="宋体" w:hAnsi="宋体" w:cs="宋体"/>
                <w:color w:val="000000"/>
                <w:kern w:val="0"/>
              </w:rPr>
            </w:pPr>
            <w:r>
              <w:rPr>
                <w:rFonts w:hint="eastAsia" w:ascii="宋体" w:hAnsi="宋体" w:cs="宋体"/>
                <w:color w:val="000000"/>
                <w:kern w:val="0"/>
              </w:rPr>
              <w:t>3.认购</w:t>
            </w:r>
            <w:r>
              <w:rPr>
                <w:rFonts w:ascii="宋体" w:hAnsi="宋体" w:cs="宋体"/>
                <w:color w:val="000000"/>
                <w:kern w:val="0"/>
              </w:rPr>
              <w:t>/</w:t>
            </w:r>
            <w:r>
              <w:rPr>
                <w:rFonts w:hint="eastAsia" w:ascii="宋体" w:hAnsi="宋体" w:cs="宋体"/>
                <w:color w:val="000000"/>
                <w:kern w:val="0"/>
              </w:rPr>
              <w:t>申购开放期内提交的交易申请，在产品成立日</w:t>
            </w:r>
            <w:r>
              <w:rPr>
                <w:rFonts w:ascii="宋体" w:hAnsi="宋体" w:cs="宋体"/>
                <w:color w:val="000000"/>
                <w:kern w:val="0"/>
              </w:rPr>
              <w:t>/</w:t>
            </w:r>
            <w:r>
              <w:rPr>
                <w:rFonts w:hint="eastAsia" w:ascii="宋体" w:hAnsi="宋体" w:cs="宋体"/>
                <w:color w:val="000000"/>
                <w:kern w:val="0"/>
              </w:rPr>
              <w:t>确认日前一日下午</w:t>
            </w:r>
            <w:r>
              <w:rPr>
                <w:rFonts w:ascii="宋体" w:hAnsi="宋体" w:cs="宋体"/>
                <w:color w:val="000000"/>
                <w:kern w:val="0"/>
              </w:rPr>
              <w:t>17:00</w:t>
            </w:r>
            <w:r>
              <w:rPr>
                <w:rFonts w:hint="eastAsia" w:ascii="宋体" w:hAnsi="宋体" w:cs="宋体"/>
                <w:color w:val="000000"/>
                <w:kern w:val="0"/>
              </w:rPr>
              <w:t>之前可以撤单。</w:t>
            </w:r>
          </w:p>
          <w:p>
            <w:pPr>
              <w:rPr>
                <w:rFonts w:ascii="宋体" w:hAnsi="宋体" w:cs="宋体"/>
                <w:color w:val="000000"/>
                <w:kern w:val="0"/>
              </w:rPr>
            </w:pPr>
            <w:r>
              <w:rPr>
                <w:rFonts w:hint="eastAsia" w:ascii="宋体" w:hAnsi="宋体" w:cs="宋体"/>
                <w:color w:val="000000"/>
                <w:kern w:val="0"/>
              </w:rPr>
              <w:t>4.工作时间为每个工作日上午</w:t>
            </w:r>
            <w:r>
              <w:rPr>
                <w:rFonts w:ascii="宋体" w:hAnsi="宋体" w:cs="宋体"/>
                <w:color w:val="000000"/>
                <w:kern w:val="0"/>
              </w:rPr>
              <w:t>9:00</w:t>
            </w:r>
            <w:r>
              <w:rPr>
                <w:rFonts w:hint="eastAsia" w:ascii="宋体" w:hAnsi="宋体" w:cs="宋体"/>
                <w:color w:val="000000"/>
                <w:kern w:val="0"/>
              </w:rPr>
              <w:t>至下午</w:t>
            </w:r>
            <w:r>
              <w:rPr>
                <w:rFonts w:ascii="宋体" w:hAnsi="宋体" w:cs="宋体"/>
                <w:color w:val="000000"/>
                <w:kern w:val="0"/>
              </w:rPr>
              <w:t>17:00</w:t>
            </w:r>
            <w:r>
              <w:rPr>
                <w:rFonts w:hint="eastAsia" w:ascii="宋体" w:hAnsi="宋体" w:cs="宋体"/>
                <w:color w:val="000000"/>
                <w:kern w:val="0"/>
              </w:rPr>
              <w:t>。确认日如遇非工作日，则顺延至下一工作日。</w:t>
            </w:r>
          </w:p>
          <w:p>
            <w:pPr>
              <w:rPr>
                <w:rFonts w:ascii="宋体" w:hAnsi="宋体" w:cs="宋体"/>
                <w:color w:val="000000"/>
                <w:kern w:val="0"/>
              </w:rPr>
            </w:pPr>
            <w:r>
              <w:rPr>
                <w:rFonts w:hint="eastAsia" w:ascii="宋体" w:hAnsi="宋体" w:cs="宋体"/>
                <w:color w:val="000000"/>
                <w:kern w:val="0"/>
              </w:rPr>
              <w:t>5.如果投资者在一个投资周期开放期内未提出赎回申请，则该投资周期终止后，投资者的理财资金继续进入下一个投资周期进行理财运作。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赎回资金到账时间为确认日后</w:t>
            </w:r>
            <w:r>
              <w:rPr>
                <w:rFonts w:ascii="宋体" w:hAnsi="宋体" w:cs="宋体"/>
                <w:color w:val="000000"/>
                <w:kern w:val="0"/>
              </w:rPr>
              <w:t>3</w:t>
            </w:r>
            <w:r>
              <w:rPr>
                <w:rFonts w:hint="eastAsia" w:ascii="宋体" w:hAnsi="宋体" w:cs="宋体"/>
                <w:color w:val="000000"/>
                <w:kern w:val="0"/>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单位净值为提取相关税费后，单位理财计划份额的净值。理财计划单位净值保留至小数点后第</w:t>
            </w:r>
            <w:r>
              <w:rPr>
                <w:rFonts w:ascii="宋体" w:hAnsi="宋体" w:cs="宋体"/>
                <w:color w:val="000000"/>
                <w:kern w:val="0"/>
              </w:rPr>
              <w:t>4</w:t>
            </w:r>
            <w:r>
              <w:rPr>
                <w:rFonts w:hint="eastAsia" w:ascii="宋体" w:hAnsi="宋体" w:cs="宋体"/>
                <w:color w:val="000000"/>
                <w:kern w:val="0"/>
              </w:rPr>
              <w:t>位，小数点</w:t>
            </w:r>
            <w:r>
              <w:rPr>
                <w:rFonts w:ascii="宋体" w:hAnsi="宋体" w:cs="宋体"/>
                <w:color w:val="000000"/>
                <w:kern w:val="0"/>
              </w:rPr>
              <w:t>4</w:t>
            </w:r>
            <w:r>
              <w:rPr>
                <w:rFonts w:hint="eastAsia" w:ascii="宋体" w:hAnsi="宋体" w:cs="宋体"/>
                <w:color w:val="000000"/>
                <w:kern w:val="0"/>
              </w:rPr>
              <w:t>位以后去尾。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业绩比较基准</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本理财产品首期业绩比较基准为人民</w:t>
            </w:r>
            <w:r>
              <w:rPr>
                <w:rFonts w:ascii="宋体" w:hAnsi="宋体" w:cs="宋体"/>
                <w:color w:val="000000"/>
                <w:kern w:val="0"/>
              </w:rPr>
              <w:t>银行一年期存款基准利率+</w:t>
            </w:r>
            <w:r>
              <w:rPr>
                <w:rFonts w:hint="eastAsia" w:ascii="宋体" w:hAnsi="宋体" w:cs="宋体"/>
                <w:color w:val="000000"/>
                <w:kern w:val="0"/>
                <w:highlight w:val="none"/>
              </w:rPr>
              <w:t>2.</w:t>
            </w:r>
            <w:r>
              <w:rPr>
                <w:rFonts w:hint="eastAsia" w:ascii="宋体" w:hAnsi="宋体" w:cs="宋体"/>
                <w:color w:val="000000"/>
                <w:kern w:val="0"/>
                <w:highlight w:val="none"/>
                <w:lang w:val="en-US" w:eastAsia="zh-CN"/>
              </w:rPr>
              <w:t>7</w:t>
            </w:r>
            <w:r>
              <w:rPr>
                <w:rFonts w:hint="eastAsia" w:ascii="宋体" w:hAnsi="宋体" w:cs="宋体"/>
                <w:color w:val="000000"/>
                <w:kern w:val="0"/>
              </w:rPr>
              <w:t>%。</w:t>
            </w:r>
          </w:p>
          <w:p>
            <w:pPr>
              <w:rPr>
                <w:rFonts w:ascii="宋体" w:hAnsi="宋体" w:cs="宋体"/>
                <w:color w:val="000000"/>
                <w:kern w:val="0"/>
              </w:rPr>
            </w:pPr>
            <w:r>
              <w:rPr>
                <w:rFonts w:hint="eastAsia" w:ascii="宋体" w:hAnsi="宋体" w:cs="宋体"/>
                <w:color w:val="000000"/>
                <w:kern w:val="0"/>
              </w:rPr>
              <w:t>管理人有权于确认日前</w:t>
            </w:r>
            <w:r>
              <w:rPr>
                <w:rFonts w:ascii="宋体" w:hAnsi="宋体" w:cs="宋体"/>
                <w:color w:val="000000"/>
                <w:kern w:val="0"/>
              </w:rPr>
              <w:t>3</w:t>
            </w:r>
            <w:r>
              <w:rPr>
                <w:rFonts w:hint="eastAsia" w:ascii="宋体" w:hAnsi="宋体" w:cs="宋体"/>
                <w:color w:val="000000"/>
                <w:kern w:val="0"/>
              </w:rPr>
              <w:t>个工作日调整业绩比较基准，并在管理人或销售机构官网公告。业绩比较基准调整后原说明书将不再修订。</w:t>
            </w:r>
          </w:p>
          <w:p>
            <w:pPr>
              <w:rPr>
                <w:rFonts w:hint="eastAsia" w:ascii="宋体" w:hAnsi="宋体" w:cs="宋体"/>
                <w:color w:val="000000"/>
                <w:kern w:val="0"/>
              </w:rPr>
            </w:pPr>
            <w:r>
              <w:rPr>
                <w:rFonts w:hint="eastAsia" w:ascii="宋体" w:hAnsi="宋体" w:cs="宋体"/>
                <w:color w:val="000000"/>
                <w:kern w:val="0"/>
              </w:rPr>
              <w:t>本产品为净值型理财产品，没有预期收益率。管理人提醒投资者关注，业绩比较基准并不代表实际收益率。</w:t>
            </w:r>
          </w:p>
          <w:p>
            <w:pPr>
              <w:rPr>
                <w:rFonts w:hint="eastAsia" w:ascii="宋体" w:hAnsi="宋体" w:cs="宋体"/>
                <w:color w:val="000000"/>
                <w:kern w:val="0"/>
              </w:rPr>
            </w:pPr>
            <w:r>
              <w:rPr>
                <w:rFonts w:hint="eastAsia" w:ascii="宋体" w:hAnsi="宋体" w:eastAsia="宋体" w:cs="宋体"/>
                <w:b w:val="0"/>
                <w:i w:val="0"/>
                <w:caps w:val="0"/>
                <w:color w:val="333333"/>
                <w:spacing w:val="0"/>
                <w:sz w:val="21"/>
                <w:szCs w:val="21"/>
                <w:shd w:val="clear" w:fill="FFFFFF"/>
              </w:rPr>
              <w:t>本理财计划业绩比较基准由管理人根据投资范围及投资策略，结合市场环境因素进行测算而得出。业绩比较基准是管理人基于理财计划收益风险特征、投资策略、过往经验等因素对理财计划业绩设定的投资目标，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本金和理财收益</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本理财产品不保障本金和收益。产品累计净值不低于1时,管理人有权根据产品运作情况,进行现金分红。</w:t>
            </w:r>
          </w:p>
          <w:p>
            <w:pPr>
              <w:rPr>
                <w:rFonts w:ascii="宋体" w:hAnsi="宋体" w:cs="宋体"/>
                <w:color w:val="000000"/>
                <w:kern w:val="0"/>
              </w:rPr>
            </w:pPr>
            <w:r>
              <w:rPr>
                <w:rFonts w:hint="eastAsia" w:ascii="宋体" w:hAnsi="宋体" w:cs="宋体"/>
                <w:color w:val="000000"/>
                <w:kern w:val="0"/>
              </w:rPr>
              <w:t>投资收益</w:t>
            </w:r>
            <w:r>
              <w:rPr>
                <w:rFonts w:ascii="宋体" w:hAnsi="宋体" w:cs="宋体"/>
                <w:color w:val="000000"/>
                <w:kern w:val="0"/>
              </w:rPr>
              <w:t>=</w:t>
            </w:r>
            <w:r>
              <w:rPr>
                <w:rFonts w:hint="eastAsia" w:ascii="宋体" w:hAnsi="宋体" w:cs="宋体"/>
                <w:color w:val="000000"/>
                <w:kern w:val="0"/>
              </w:rPr>
              <w:t>投资者赎回确认时的单位净值×投资者赎回确认时份额+持有期分红收益</w:t>
            </w:r>
            <w:r>
              <w:rPr>
                <w:rFonts w:ascii="宋体" w:hAnsi="宋体" w:cs="宋体"/>
                <w:color w:val="000000"/>
                <w:kern w:val="0"/>
              </w:rPr>
              <w:t>-</w:t>
            </w:r>
            <w:r>
              <w:rPr>
                <w:rFonts w:hint="eastAsia" w:ascii="宋体" w:hAnsi="宋体" w:cs="宋体"/>
                <w:color w:val="000000"/>
                <w:kern w:val="0"/>
              </w:rPr>
              <w:t>投资者投资本金。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.按</w:t>
            </w:r>
            <w:r>
              <w:rPr>
                <w:rFonts w:ascii="宋体" w:hAnsi="宋体" w:cs="宋体"/>
                <w:color w:val="000000"/>
                <w:kern w:val="0"/>
              </w:rPr>
              <w:t>1</w:t>
            </w:r>
            <w:r>
              <w:rPr>
                <w:rFonts w:hint="eastAsia" w:ascii="宋体" w:hAnsi="宋体" w:cs="宋体"/>
                <w:color w:val="000000"/>
                <w:kern w:val="0"/>
              </w:rPr>
              <w:t>元</w:t>
            </w:r>
            <w:r>
              <w:rPr>
                <w:rFonts w:ascii="宋体" w:hAnsi="宋体" w:cs="宋体"/>
                <w:color w:val="000000"/>
                <w:kern w:val="0"/>
              </w:rPr>
              <w:t>/</w:t>
            </w:r>
            <w:r>
              <w:rPr>
                <w:rFonts w:hint="eastAsia" w:ascii="宋体" w:hAnsi="宋体" w:cs="宋体"/>
                <w:color w:val="000000"/>
                <w:kern w:val="0"/>
              </w:rPr>
              <w:t>份的价格认购本理财产品，投资者首次购买</w:t>
            </w:r>
            <w:r>
              <w:rPr>
                <w:rFonts w:hint="eastAsia" w:ascii="宋体" w:hAnsi="宋体" w:cs="宋体"/>
                <w:color w:val="000000"/>
                <w:kern w:val="0"/>
                <w:lang w:val="en-US" w:eastAsia="zh-CN"/>
              </w:rPr>
              <w:t>A份额</w:t>
            </w:r>
            <w:r>
              <w:rPr>
                <w:rFonts w:hint="eastAsia" w:ascii="宋体" w:hAnsi="宋体" w:cs="宋体"/>
                <w:color w:val="000000"/>
                <w:kern w:val="0"/>
              </w:rPr>
              <w:t>的最低金额为1元，超出部分应为1元的整数倍</w:t>
            </w:r>
            <w:r>
              <w:rPr>
                <w:rFonts w:hint="eastAsia" w:ascii="宋体" w:hAnsi="宋体" w:cs="宋体"/>
                <w:color w:val="000000"/>
                <w:kern w:val="0"/>
                <w:lang w:eastAsia="zh-CN"/>
              </w:rPr>
              <w:t>；</w:t>
            </w:r>
            <w:r>
              <w:rPr>
                <w:rFonts w:hint="eastAsia" w:ascii="宋体" w:hAnsi="宋体" w:cs="宋体"/>
                <w:color w:val="000000"/>
                <w:kern w:val="0"/>
                <w:lang w:val="en-US" w:eastAsia="zh-CN"/>
              </w:rPr>
              <w:t>首次购买B份额的最低金额为20万元，超出部分应为1元的整数倍。</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.产品按份额赎回，投资者可选择全额或部分赎回，申请部分赎回的，部分赎回后剩余份额应不小于1份，否则赎回不成功。</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.申购份额</w:t>
            </w:r>
            <w:r>
              <w:rPr>
                <w:rFonts w:ascii="宋体" w:hAnsi="宋体" w:cs="宋体"/>
                <w:color w:val="000000"/>
                <w:kern w:val="0"/>
              </w:rPr>
              <w:t>=</w:t>
            </w:r>
            <w:r>
              <w:rPr>
                <w:rFonts w:hint="eastAsia" w:ascii="宋体" w:hAnsi="宋体" w:cs="宋体"/>
                <w:color w:val="000000"/>
                <w:kern w:val="0"/>
              </w:rPr>
              <w:t>申购金额</w:t>
            </w:r>
            <w:r>
              <w:rPr>
                <w:rFonts w:ascii="宋体" w:hAnsi="宋体" w:cs="宋体"/>
                <w:color w:val="000000"/>
                <w:kern w:val="0"/>
              </w:rPr>
              <w:t>/</w:t>
            </w:r>
            <w:r>
              <w:rPr>
                <w:rFonts w:hint="eastAsia" w:ascii="宋体" w:hAnsi="宋体" w:cs="宋体"/>
                <w:color w:val="000000"/>
                <w:kern w:val="0"/>
              </w:rPr>
              <w:t>确认日</w:t>
            </w:r>
            <w:r>
              <w:rPr>
                <w:rFonts w:hint="eastAsia" w:ascii="宋体" w:hAnsi="宋体" w:cs="宋体"/>
                <w:color w:val="000000"/>
                <w:kern w:val="0"/>
                <w:lang w:val="en-US" w:eastAsia="zh-CN"/>
              </w:rPr>
              <w:t>前一日</w:t>
            </w:r>
            <w:r>
              <w:rPr>
                <w:rFonts w:hint="eastAsia" w:ascii="宋体" w:hAnsi="宋体" w:cs="宋体"/>
                <w:color w:val="000000"/>
                <w:kern w:val="0"/>
              </w:rPr>
              <w:t>的单位净值。</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.赎回金额</w:t>
            </w:r>
            <w:r>
              <w:rPr>
                <w:rFonts w:ascii="宋体" w:hAnsi="宋体" w:cs="宋体"/>
                <w:color w:val="000000"/>
                <w:kern w:val="0"/>
              </w:rPr>
              <w:t>=</w:t>
            </w:r>
            <w:r>
              <w:rPr>
                <w:rFonts w:hint="eastAsia" w:ascii="宋体" w:hAnsi="宋体" w:cs="宋体"/>
                <w:color w:val="000000"/>
                <w:kern w:val="0"/>
              </w:rPr>
              <w:t>赎回份额×确认日</w:t>
            </w:r>
            <w:r>
              <w:rPr>
                <w:rFonts w:hint="eastAsia" w:ascii="宋体" w:hAnsi="宋体" w:cs="宋体"/>
                <w:color w:val="000000"/>
                <w:kern w:val="0"/>
                <w:lang w:val="en-US" w:eastAsia="zh-CN"/>
              </w:rPr>
              <w:t>前一日</w:t>
            </w:r>
            <w:r>
              <w:rPr>
                <w:rFonts w:hint="eastAsia" w:ascii="宋体" w:hAnsi="宋体" w:cs="宋体"/>
                <w:color w:val="000000"/>
                <w:kern w:val="0"/>
              </w:rPr>
              <w:t>的单位净值。</w:t>
            </w:r>
          </w:p>
          <w:p>
            <w:pPr>
              <w:rPr>
                <w:rFonts w:ascii="宋体" w:hAnsi="宋体" w:cs="宋体"/>
                <w:color w:val="000000"/>
                <w:kern w:val="0"/>
              </w:rPr>
            </w:pPr>
            <w:r>
              <w:rPr>
                <w:rFonts w:ascii="宋体" w:hAnsi="宋体" w:cs="宋体"/>
                <w:color w:val="000000"/>
                <w:kern w:val="0"/>
              </w:rPr>
              <w:t>5</w:t>
            </w:r>
            <w:r>
              <w:rPr>
                <w:rFonts w:hint="eastAsia" w:ascii="宋体" w:hAnsi="宋体" w:cs="宋体"/>
                <w:color w:val="000000"/>
                <w:kern w:val="0"/>
              </w:rPr>
              <w:t>.单户最高存续份额为1亿份。</w:t>
            </w:r>
          </w:p>
          <w:p>
            <w:pPr>
              <w:rPr>
                <w:rFonts w:ascii="宋体" w:hAnsi="宋体" w:cs="宋体"/>
                <w:color w:val="000000"/>
                <w:kern w:val="0"/>
              </w:rPr>
            </w:pPr>
            <w:r>
              <w:rPr>
                <w:rFonts w:ascii="宋体" w:hAnsi="宋体" w:cs="宋体"/>
                <w:color w:val="000000"/>
                <w:kern w:val="0"/>
              </w:rPr>
              <w:t>6</w:t>
            </w:r>
            <w:r>
              <w:rPr>
                <w:rFonts w:hint="eastAsia" w:ascii="宋体" w:hAnsi="宋体" w:cs="宋体"/>
                <w:color w:val="000000"/>
                <w:kern w:val="0"/>
              </w:rPr>
              <w:t>.理财产品存续期内，若理财产品当日净赎回申请份额超过本理财产品上一日日终产品总份额</w:t>
            </w:r>
            <w:r>
              <w:rPr>
                <w:rFonts w:ascii="宋体" w:hAnsi="宋体" w:cs="宋体"/>
                <w:color w:val="000000"/>
                <w:kern w:val="0"/>
              </w:rPr>
              <w:t>10%</w:t>
            </w:r>
            <w:r>
              <w:rPr>
                <w:rFonts w:hint="eastAsia" w:ascii="宋体" w:hAnsi="宋体" w:cs="宋体"/>
                <w:color w:val="000000"/>
                <w:kern w:val="0"/>
              </w:rPr>
              <w:t>时，管理人有权</w:t>
            </w:r>
            <w:r>
              <w:rPr>
                <w:rStyle w:val="17"/>
                <w:rFonts w:hint="eastAsia" w:ascii="宋体" w:hAnsi="宋体" w:cs="宋体"/>
                <w:color w:val="000000"/>
                <w:kern w:val="0"/>
              </w:rPr>
              <w:t>拒绝</w:t>
            </w:r>
            <w:r>
              <w:rPr>
                <w:rFonts w:hint="eastAsia" w:ascii="宋体" w:hAnsi="宋体" w:cs="宋体"/>
                <w:color w:val="000000"/>
                <w:kern w:val="0"/>
              </w:rPr>
              <w:t>接受赎回申请，并最迟于下一工作日通过管理人或销售机构网站进行公告。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相关费用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numPr>
                <w:ilvl w:val="0"/>
                <w:numId w:val="2"/>
              </w:numPr>
              <w:rPr>
                <w:rFonts w:hint="eastAsia" w:ascii="宋体" w:hAnsi="宋体" w:cs="宋体"/>
                <w:color w:val="000000"/>
                <w:kern w:val="0"/>
              </w:rPr>
            </w:pPr>
            <w:r>
              <w:rPr>
                <w:rFonts w:hint="eastAsia" w:ascii="宋体" w:hAnsi="宋体" w:cs="宋体"/>
                <w:color w:val="000000"/>
                <w:kern w:val="0"/>
                <w:lang w:eastAsia="zh-CN"/>
              </w:rPr>
              <w:t>销售服务费，</w:t>
            </w:r>
            <w:r>
              <w:rPr>
                <w:rFonts w:hint="eastAsia" w:ascii="宋体" w:hAnsi="宋体" w:cs="宋体"/>
                <w:color w:val="000000"/>
                <w:kern w:val="0"/>
              </w:rPr>
              <w:t>每日计提</w:t>
            </w:r>
            <w:r>
              <w:rPr>
                <w:rFonts w:hint="eastAsia" w:ascii="宋体" w:hAnsi="宋体" w:cs="宋体"/>
                <w:color w:val="000000"/>
                <w:kern w:val="0"/>
                <w:lang w:eastAsia="zh-CN"/>
              </w:rPr>
              <w:t>。</w:t>
            </w:r>
          </w:p>
          <w:p>
            <w:pPr>
              <w:numPr>
                <w:ilvl w:val="-1"/>
                <w:numId w:val="0"/>
              </w:numPr>
              <w:rPr>
                <w:rFonts w:hint="eastAsia" w:ascii="宋体" w:hAnsi="宋体" w:cs="宋体"/>
                <w:color w:val="000000"/>
                <w:kern w:val="0"/>
              </w:rPr>
            </w:pPr>
            <w:r>
              <w:rPr>
                <w:rFonts w:hint="eastAsia" w:ascii="宋体" w:hAnsi="宋体" w:cs="宋体"/>
                <w:color w:val="000000"/>
                <w:kern w:val="0"/>
                <w:lang w:val="en-US" w:eastAsia="zh-CN"/>
              </w:rPr>
              <w:t>A份额：</w:t>
            </w:r>
            <w:r>
              <w:rPr>
                <w:rFonts w:hint="eastAsia" w:ascii="宋体" w:hAnsi="宋体" w:cs="宋体"/>
                <w:color w:val="000000"/>
                <w:kern w:val="0"/>
              </w:rPr>
              <w:t>收取年化0</w:t>
            </w:r>
            <w:r>
              <w:rPr>
                <w:rFonts w:hint="eastAsia" w:ascii="宋体" w:hAnsi="宋体" w:cs="宋体"/>
                <w:color w:val="000000"/>
                <w:kern w:val="0"/>
                <w:lang w:val="en-US" w:eastAsia="zh-CN"/>
              </w:rPr>
              <w:t>.2</w:t>
            </w:r>
            <w:r>
              <w:rPr>
                <w:rFonts w:ascii="宋体" w:hAnsi="宋体" w:cs="宋体"/>
                <w:color w:val="000000"/>
                <w:kern w:val="0"/>
              </w:rPr>
              <w:t>%</w:t>
            </w:r>
            <w:r>
              <w:rPr>
                <w:rFonts w:hint="eastAsia" w:ascii="宋体" w:hAnsi="宋体" w:cs="宋体"/>
                <w:color w:val="000000"/>
                <w:kern w:val="0"/>
              </w:rPr>
              <w:t>的</w:t>
            </w:r>
            <w:r>
              <w:rPr>
                <w:rFonts w:hint="eastAsia" w:ascii="宋体" w:hAnsi="宋体" w:cs="宋体"/>
                <w:color w:val="000000"/>
                <w:kern w:val="0"/>
                <w:lang w:eastAsia="zh-CN"/>
              </w:rPr>
              <w:t>销售服务费</w:t>
            </w:r>
            <w:r>
              <w:rPr>
                <w:rFonts w:hint="eastAsia" w:ascii="宋体" w:hAnsi="宋体" w:cs="宋体"/>
                <w:color w:val="000000"/>
                <w:kern w:val="0"/>
              </w:rPr>
              <w:t>。</w:t>
            </w:r>
          </w:p>
          <w:p>
            <w:pPr>
              <w:numPr>
                <w:ilvl w:val="-1"/>
                <w:numId w:val="0"/>
              </w:numPr>
              <w:rPr>
                <w:rFonts w:hint="eastAsia" w:ascii="宋体" w:hAnsi="宋体" w:cs="宋体"/>
                <w:color w:val="000000"/>
                <w:kern w:val="0"/>
              </w:rPr>
            </w:pPr>
            <w:r>
              <w:rPr>
                <w:rFonts w:hint="eastAsia" w:ascii="宋体" w:hAnsi="宋体" w:cs="宋体"/>
                <w:color w:val="000000"/>
                <w:kern w:val="0"/>
                <w:lang w:val="en-US" w:eastAsia="zh-CN"/>
              </w:rPr>
              <w:t>B份额：</w:t>
            </w:r>
            <w:r>
              <w:rPr>
                <w:rFonts w:hint="eastAsia" w:ascii="宋体" w:hAnsi="宋体" w:cs="宋体"/>
                <w:color w:val="000000"/>
                <w:kern w:val="0"/>
              </w:rPr>
              <w:t>收取年化0</w:t>
            </w:r>
            <w:r>
              <w:rPr>
                <w:rFonts w:hint="eastAsia" w:ascii="宋体" w:hAnsi="宋体" w:cs="宋体"/>
                <w:color w:val="000000"/>
                <w:kern w:val="0"/>
                <w:lang w:val="en-US" w:eastAsia="zh-CN"/>
              </w:rPr>
              <w:t>.1</w:t>
            </w:r>
            <w:r>
              <w:rPr>
                <w:rFonts w:ascii="宋体" w:hAnsi="宋体" w:cs="宋体"/>
                <w:color w:val="000000"/>
                <w:kern w:val="0"/>
              </w:rPr>
              <w:t>%</w:t>
            </w:r>
            <w:r>
              <w:rPr>
                <w:rFonts w:hint="eastAsia" w:ascii="宋体" w:hAnsi="宋体" w:cs="宋体"/>
                <w:color w:val="000000"/>
                <w:kern w:val="0"/>
              </w:rPr>
              <w:t>的</w:t>
            </w:r>
            <w:r>
              <w:rPr>
                <w:rFonts w:hint="eastAsia" w:ascii="宋体" w:hAnsi="宋体" w:cs="宋体"/>
                <w:color w:val="000000"/>
                <w:kern w:val="0"/>
                <w:lang w:eastAsia="zh-CN"/>
              </w:rPr>
              <w:t>销售服务费</w:t>
            </w:r>
            <w:r>
              <w:rPr>
                <w:rFonts w:hint="eastAsia" w:ascii="宋体" w:hAnsi="宋体" w:cs="宋体"/>
                <w:color w:val="000000"/>
                <w:kern w:val="0"/>
              </w:rPr>
              <w:t>。</w:t>
            </w:r>
          </w:p>
          <w:p>
            <w:pPr>
              <w:rPr>
                <w:rFonts w:ascii="宋体" w:hAnsi="宋体" w:cs="宋体"/>
                <w:color w:val="000000"/>
                <w:kern w:val="0"/>
              </w:rPr>
            </w:pPr>
            <w:r>
              <w:rPr>
                <w:rFonts w:hint="eastAsia" w:ascii="宋体" w:hAnsi="宋体" w:cs="宋体"/>
                <w:color w:val="000000"/>
                <w:kern w:val="0"/>
              </w:rPr>
              <w:t>2.托管费。本产品托管人收取年化0.025</w:t>
            </w:r>
            <w:r>
              <w:rPr>
                <w:rFonts w:ascii="宋体" w:hAnsi="宋体" w:cs="宋体"/>
                <w:color w:val="000000"/>
                <w:kern w:val="0"/>
              </w:rPr>
              <w:t>%</w:t>
            </w:r>
            <w:r>
              <w:rPr>
                <w:rFonts w:hint="eastAsia" w:ascii="宋体" w:hAnsi="宋体" w:cs="宋体"/>
                <w:color w:val="000000"/>
                <w:kern w:val="0"/>
              </w:rPr>
              <w:t>的托管费。</w:t>
            </w:r>
          </w:p>
          <w:p>
            <w:pPr>
              <w:rPr>
                <w:rFonts w:hint="eastAsia" w:ascii="宋体" w:hAnsi="宋体" w:eastAsia="宋体" w:cs="宋体"/>
                <w:color w:val="000000"/>
                <w:kern w:val="0"/>
                <w:lang w:eastAsia="zh-CN"/>
              </w:rPr>
            </w:pPr>
            <w:r>
              <w:rPr>
                <w:rFonts w:hint="eastAsia" w:ascii="宋体" w:hAnsi="宋体" w:cs="宋体"/>
                <w:color w:val="000000"/>
                <w:kern w:val="0"/>
              </w:rPr>
              <w:t>3.固定管理费</w:t>
            </w:r>
            <w:r>
              <w:rPr>
                <w:rFonts w:hint="eastAsia" w:ascii="宋体" w:hAnsi="宋体" w:cs="宋体"/>
                <w:color w:val="000000"/>
                <w:kern w:val="0"/>
                <w:lang w:eastAsia="zh-CN"/>
              </w:rPr>
              <w:t>，</w:t>
            </w:r>
            <w:r>
              <w:rPr>
                <w:rFonts w:hint="eastAsia" w:ascii="宋体" w:hAnsi="宋体" w:cs="宋体"/>
                <w:color w:val="000000"/>
                <w:kern w:val="0"/>
              </w:rPr>
              <w:t>每日计提</w:t>
            </w:r>
            <w:r>
              <w:rPr>
                <w:rFonts w:hint="eastAsia" w:ascii="宋体" w:hAnsi="宋体" w:cs="宋体"/>
                <w:color w:val="000000"/>
                <w:kern w:val="0"/>
                <w:lang w:eastAsia="zh-CN"/>
              </w:rPr>
              <w:t>。</w:t>
            </w:r>
          </w:p>
          <w:p>
            <w:pPr>
              <w:rPr>
                <w:rFonts w:hint="eastAsia" w:ascii="宋体" w:hAnsi="宋体" w:cs="宋体"/>
                <w:color w:val="000000"/>
                <w:kern w:val="0"/>
              </w:rPr>
            </w:pPr>
            <w:r>
              <w:rPr>
                <w:rFonts w:hint="eastAsia" w:ascii="宋体" w:hAnsi="宋体" w:cs="宋体"/>
                <w:color w:val="000000"/>
                <w:kern w:val="0"/>
                <w:lang w:val="en-US" w:eastAsia="zh-CN"/>
              </w:rPr>
              <w:t>A份额：</w:t>
            </w:r>
            <w:r>
              <w:rPr>
                <w:rFonts w:hint="eastAsia" w:ascii="宋体" w:hAnsi="宋体" w:cs="宋体"/>
                <w:color w:val="000000"/>
                <w:kern w:val="0"/>
              </w:rPr>
              <w:t>收取年化0.</w:t>
            </w:r>
            <w:r>
              <w:rPr>
                <w:rFonts w:hint="eastAsia" w:ascii="宋体" w:hAnsi="宋体" w:cs="宋体"/>
                <w:color w:val="000000"/>
                <w:kern w:val="0"/>
                <w:lang w:val="en-US" w:eastAsia="zh-CN"/>
              </w:rPr>
              <w:t>4</w:t>
            </w:r>
            <w:r>
              <w:rPr>
                <w:rFonts w:ascii="宋体" w:hAnsi="宋体" w:cs="宋体"/>
                <w:color w:val="000000"/>
                <w:kern w:val="0"/>
              </w:rPr>
              <w:t>%</w:t>
            </w:r>
            <w:r>
              <w:rPr>
                <w:rFonts w:hint="eastAsia" w:ascii="宋体" w:hAnsi="宋体" w:cs="宋体"/>
                <w:color w:val="000000"/>
                <w:kern w:val="0"/>
              </w:rPr>
              <w:t>的固定管理费。</w:t>
            </w:r>
          </w:p>
          <w:p>
            <w:pPr>
              <w:rPr>
                <w:rFonts w:hint="eastAsia" w:ascii="宋体" w:hAnsi="宋体" w:cs="宋体"/>
                <w:color w:val="000000"/>
                <w:kern w:val="0"/>
              </w:rPr>
            </w:pPr>
            <w:r>
              <w:rPr>
                <w:rFonts w:hint="eastAsia" w:ascii="宋体" w:hAnsi="宋体" w:cs="宋体"/>
                <w:color w:val="000000"/>
                <w:kern w:val="0"/>
                <w:lang w:val="en-US" w:eastAsia="zh-CN"/>
              </w:rPr>
              <w:t>B份额：</w:t>
            </w:r>
            <w:r>
              <w:rPr>
                <w:rFonts w:hint="eastAsia" w:ascii="宋体" w:hAnsi="宋体" w:cs="宋体"/>
                <w:color w:val="000000"/>
                <w:kern w:val="0"/>
              </w:rPr>
              <w:t>收取年化0.</w:t>
            </w:r>
            <w:r>
              <w:rPr>
                <w:rFonts w:hint="eastAsia" w:ascii="宋体" w:hAnsi="宋体" w:cs="宋体"/>
                <w:color w:val="000000"/>
                <w:kern w:val="0"/>
                <w:lang w:val="en-US" w:eastAsia="zh-CN"/>
              </w:rPr>
              <w:t>4</w:t>
            </w:r>
            <w:r>
              <w:rPr>
                <w:rFonts w:ascii="宋体" w:hAnsi="宋体" w:cs="宋体"/>
                <w:color w:val="000000"/>
                <w:kern w:val="0"/>
              </w:rPr>
              <w:t>%</w:t>
            </w:r>
            <w:r>
              <w:rPr>
                <w:rFonts w:hint="eastAsia" w:ascii="宋体" w:hAnsi="宋体" w:cs="宋体"/>
                <w:color w:val="000000"/>
                <w:kern w:val="0"/>
              </w:rPr>
              <w:t>的固定管理费。</w:t>
            </w:r>
          </w:p>
          <w:p>
            <w:pPr>
              <w:rPr>
                <w:rFonts w:ascii="宋体" w:hAnsi="宋体" w:cs="宋体"/>
                <w:color w:val="000000"/>
                <w:kern w:val="0"/>
              </w:rPr>
            </w:pPr>
            <w:r>
              <w:rPr>
                <w:rFonts w:hint="eastAsia" w:ascii="宋体" w:hAnsi="宋体" w:cs="宋体"/>
                <w:color w:val="000000"/>
                <w:kern w:val="0"/>
              </w:rPr>
              <w:t>4.浮动管理费。理财管理人根据理财计划投资情况计算浮动管理费，本理财产品投资周期年化收益率超过业绩比较基准上限的部分,管理人提取50%作为浮动管理费。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终止权</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理财计划存续期内，管理人有权宣布终止本理财计划。详见本产品说明书“产品申购、赎回及终止”条款。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税费规定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rPr>
                <w:rFonts w:ascii="宋体" w:hAnsi="宋体" w:cs="宋体"/>
                <w:color w:val="000000"/>
                <w:kern w:val="0"/>
              </w:rPr>
            </w:pPr>
            <w:r>
              <w:rPr>
                <w:rFonts w:hint="eastAsia" w:ascii="宋体" w:hAnsi="宋体" w:cs="宋体"/>
                <w:color w:val="000000"/>
                <w:kern w:val="0"/>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其他规定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.认购期内，投资者认购资金按当时实行的活期利率计息，募集期内的利息所得不计入认购金额。（具体以代销机构规定为准）。</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.开放期内，投资者申购资金按当时实行的活期利率计息，且利息所得不计入申购金额。（具体以代销机构规定为准）。</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.认购</w:t>
            </w:r>
            <w:r>
              <w:rPr>
                <w:rFonts w:ascii="宋体" w:hAnsi="宋体" w:cs="宋体"/>
                <w:color w:val="000000"/>
                <w:kern w:val="0"/>
              </w:rPr>
              <w:t>/</w:t>
            </w:r>
            <w:r>
              <w:rPr>
                <w:rFonts w:hint="eastAsia" w:ascii="宋体" w:hAnsi="宋体" w:cs="宋体"/>
                <w:color w:val="000000"/>
                <w:kern w:val="0"/>
              </w:rPr>
              <w:t>申购申请成功受理后，资金立即自动冻结，投资者不得要求支取和使用。但认购</w:t>
            </w:r>
            <w:r>
              <w:rPr>
                <w:rFonts w:ascii="宋体" w:hAnsi="宋体" w:cs="宋体"/>
                <w:color w:val="000000"/>
                <w:kern w:val="0"/>
              </w:rPr>
              <w:t>/</w:t>
            </w:r>
            <w:r>
              <w:rPr>
                <w:rFonts w:hint="eastAsia" w:ascii="宋体" w:hAnsi="宋体" w:cs="宋体"/>
                <w:color w:val="000000"/>
                <w:kern w:val="0"/>
              </w:rPr>
              <w:t>申购资金的冻结不代表该认购</w:t>
            </w:r>
            <w:r>
              <w:rPr>
                <w:rFonts w:ascii="宋体" w:hAnsi="宋体" w:cs="宋体"/>
                <w:color w:val="000000"/>
                <w:kern w:val="0"/>
              </w:rPr>
              <w:t>/</w:t>
            </w:r>
            <w:r>
              <w:rPr>
                <w:rFonts w:hint="eastAsia" w:ascii="宋体" w:hAnsi="宋体" w:cs="宋体"/>
                <w:color w:val="000000"/>
                <w:kern w:val="0"/>
              </w:rPr>
              <w:t>申购成功，投资者实际认购</w:t>
            </w:r>
            <w:r>
              <w:rPr>
                <w:rFonts w:ascii="宋体" w:hAnsi="宋体" w:cs="宋体"/>
                <w:color w:val="000000"/>
                <w:kern w:val="0"/>
              </w:rPr>
              <w:t>/</w:t>
            </w:r>
            <w:r>
              <w:rPr>
                <w:rFonts w:hint="eastAsia" w:ascii="宋体" w:hAnsi="宋体" w:cs="宋体"/>
                <w:color w:val="000000"/>
                <w:kern w:val="0"/>
              </w:rPr>
              <w:t>申购成功的金额以产品成立日</w:t>
            </w:r>
            <w:r>
              <w:rPr>
                <w:rFonts w:ascii="宋体" w:hAnsi="宋体" w:cs="宋体"/>
                <w:color w:val="000000"/>
                <w:kern w:val="0"/>
              </w:rPr>
              <w:t>/</w:t>
            </w:r>
            <w:r>
              <w:rPr>
                <w:rFonts w:hint="eastAsia" w:ascii="宋体" w:hAnsi="宋体" w:cs="宋体"/>
                <w:color w:val="000000"/>
                <w:kern w:val="0"/>
              </w:rPr>
              <w:t>确认日的管理人最终确认并实际扣款的资金为准。同时，销售机构将在产品成立日</w:t>
            </w:r>
            <w:r>
              <w:rPr>
                <w:rFonts w:ascii="宋体" w:hAnsi="宋体" w:cs="宋体"/>
                <w:color w:val="000000"/>
                <w:kern w:val="0"/>
              </w:rPr>
              <w:t>/</w:t>
            </w:r>
            <w:r>
              <w:rPr>
                <w:rFonts w:hint="eastAsia" w:ascii="宋体" w:hAnsi="宋体" w:cs="宋体"/>
                <w:color w:val="000000"/>
                <w:kern w:val="0"/>
              </w:rPr>
              <w:t>确认日的次一工作日内将投资者未认购</w:t>
            </w:r>
            <w:r>
              <w:rPr>
                <w:rFonts w:ascii="宋体" w:hAnsi="宋体" w:cs="宋体"/>
                <w:color w:val="000000"/>
                <w:kern w:val="0"/>
              </w:rPr>
              <w:t>/</w:t>
            </w:r>
            <w:r>
              <w:rPr>
                <w:rFonts w:hint="eastAsia" w:ascii="宋体" w:hAnsi="宋体" w:cs="宋体"/>
                <w:color w:val="000000"/>
                <w:kern w:val="0"/>
              </w:rPr>
              <w:t>申购成功的资金（如有）解除冻结。</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．管理人有权根据市场情况和本产品运作情况，对本理财计划的收费项目、条件、标准和方式进行调整。</w:t>
            </w:r>
          </w:p>
        </w:tc>
      </w:tr>
    </w:tbl>
    <w:p>
      <w:pPr>
        <w:rPr>
          <w:rFonts w:ascii="宋体" w:hAnsi="宋体" w:cs="宋体"/>
          <w:b/>
          <w:bCs/>
        </w:rPr>
      </w:pPr>
      <w:bookmarkStart w:id="1" w:name="_Hlk36582038"/>
      <w:r>
        <w:rPr>
          <w:rFonts w:hint="eastAsia" w:ascii="宋体" w:hAnsi="宋体" w:cs="宋体"/>
          <w:b/>
          <w:bCs/>
        </w:rPr>
        <w:t>特别说明：本理财产品属于净值型理财产品，无预期收益率，投资须谨慎。管理人对理财本金及收益不提供保证承诺，请投资者基于自身的独立判断进行投资决策。</w:t>
      </w:r>
    </w:p>
    <w:bookmarkEnd w:id="1"/>
    <w:p>
      <w:pPr>
        <w:pStyle w:val="8"/>
        <w:numPr>
          <w:ilvl w:val="0"/>
          <w:numId w:val="1"/>
        </w:numPr>
        <w:spacing w:before="0" w:after="0" w:line="520" w:lineRule="exact"/>
        <w:jc w:val="both"/>
        <w:rPr>
          <w:sz w:val="28"/>
          <w:szCs w:val="28"/>
        </w:rPr>
      </w:pPr>
      <w:r>
        <w:rPr>
          <w:rFonts w:hint="eastAsia" w:cs="宋体"/>
          <w:sz w:val="28"/>
          <w:szCs w:val="28"/>
        </w:rPr>
        <w:t>产品投资</w:t>
      </w:r>
    </w:p>
    <w:p>
      <w:pPr>
        <w:pStyle w:val="30"/>
        <w:adjustRightInd/>
        <w:spacing w:line="360" w:lineRule="auto"/>
        <w:ind w:firstLine="420" w:firstLineChars="200"/>
        <w:rPr>
          <w:rFonts w:hint="eastAsia" w:ascii="宋体" w:cs="Times New Roman"/>
          <w:sz w:val="21"/>
          <w:szCs w:val="21"/>
        </w:rPr>
      </w:pPr>
      <w:r>
        <w:rPr>
          <w:rFonts w:hint="eastAsia" w:ascii="宋体" w:cs="宋体"/>
          <w:sz w:val="21"/>
          <w:szCs w:val="21"/>
        </w:rPr>
        <w:t>（一）投资范围</w:t>
      </w:r>
    </w:p>
    <w:p>
      <w:pPr>
        <w:pStyle w:val="30"/>
        <w:adjustRightInd/>
        <w:spacing w:line="360" w:lineRule="auto"/>
        <w:ind w:firstLine="420" w:firstLineChars="200"/>
        <w:rPr>
          <w:rFonts w:hint="eastAsia" w:ascii="宋体" w:cs="Times New Roman"/>
          <w:sz w:val="21"/>
          <w:szCs w:val="21"/>
        </w:rPr>
      </w:pPr>
      <w:r>
        <w:rPr>
          <w:rFonts w:hint="eastAsia" w:ascii="宋体" w:cs="宋体"/>
          <w:sz w:val="21"/>
          <w:szCs w:val="21"/>
        </w:rPr>
        <w:t>本理财产品为固定收益类产品，本金主要投资于以下符合监管要求的各类资产：</w:t>
      </w:r>
    </w:p>
    <w:p>
      <w:pPr>
        <w:pStyle w:val="30"/>
        <w:snapToGrid w:val="0"/>
        <w:spacing w:line="360" w:lineRule="auto"/>
        <w:ind w:firstLine="422" w:firstLineChars="200"/>
        <w:jc w:val="both"/>
        <w:rPr>
          <w:rFonts w:hint="eastAsia" w:ascii="宋体" w:cs="宋体"/>
          <w:b/>
          <w:sz w:val="21"/>
          <w:szCs w:val="22"/>
        </w:rPr>
      </w:pPr>
      <w:r>
        <w:rPr>
          <w:rFonts w:hint="eastAsia" w:ascii="宋体" w:cs="宋体"/>
          <w:b/>
          <w:sz w:val="21"/>
          <w:szCs w:val="21"/>
        </w:rPr>
        <w:t>固定收益类资产，包括但不限于各类债券、存款、货币市场金融工具等高流动性资产、债券基金、质押式及买断式回购、符合监管要求的债权类资产及其他符合监管要求的资产及资产管理计划，权益类资产等</w:t>
      </w:r>
      <w:r>
        <w:rPr>
          <w:rFonts w:hint="eastAsia" w:ascii="宋体" w:cs="宋体"/>
          <w:b/>
          <w:sz w:val="21"/>
          <w:szCs w:val="22"/>
        </w:rPr>
        <w:t>。</w:t>
      </w:r>
    </w:p>
    <w:p>
      <w:pPr>
        <w:pStyle w:val="30"/>
        <w:adjustRightInd/>
        <w:spacing w:line="360" w:lineRule="auto"/>
        <w:ind w:firstLine="420" w:firstLineChars="200"/>
        <w:rPr>
          <w:rFonts w:hint="eastAsia" w:ascii="宋体" w:cs="Times New Roman"/>
          <w:sz w:val="21"/>
          <w:szCs w:val="21"/>
        </w:rPr>
      </w:pPr>
      <w:r>
        <w:rPr>
          <w:rFonts w:hint="eastAsia" w:ascii="宋体" w:cs="宋体"/>
          <w:sz w:val="21"/>
          <w:szCs w:val="21"/>
        </w:rPr>
        <w:t>（二）投资比例</w:t>
      </w:r>
    </w:p>
    <w:tbl>
      <w:tblPr>
        <w:tblStyle w:val="13"/>
        <w:tblW w:w="893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9"/>
        <w:gridCol w:w="4820"/>
        <w:gridCol w:w="1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4" w:hRule="atLeast"/>
          <w:jc w:val="center"/>
        </w:trPr>
        <w:tc>
          <w:tcPr>
            <w:tcW w:w="2269"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资产类别</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资产种类</w:t>
            </w:r>
          </w:p>
        </w:tc>
        <w:tc>
          <w:tcPr>
            <w:tcW w:w="1842" w:type="dxa"/>
            <w:vAlign w:val="center"/>
          </w:tcPr>
          <w:p>
            <w:pPr>
              <w:rPr>
                <w:rFonts w:ascii="宋体" w:cs="Times New Roman"/>
                <w:color w:val="000000"/>
                <w:kern w:val="0"/>
                <w:sz w:val="18"/>
                <w:szCs w:val="18"/>
              </w:rPr>
            </w:pPr>
            <w:r>
              <w:rPr>
                <w:rFonts w:hint="eastAsia" w:ascii="宋体" w:hAnsi="宋体" w:cs="宋体"/>
                <w:color w:val="000000"/>
                <w:kern w:val="0"/>
                <w:sz w:val="18"/>
                <w:szCs w:val="18"/>
              </w:rPr>
              <w:t>投资比例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固定收益类</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货币市场工具类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80%-100%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债券类</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符合监管要求的债权类资产</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其他符合监管要求的资产及资产管理计划</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其他资产</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境内股票类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4" w:hRule="atLeast"/>
          <w:jc w:val="center"/>
        </w:trPr>
        <w:tc>
          <w:tcPr>
            <w:tcW w:w="2269" w:type="dxa"/>
            <w:vMerge w:val="continue"/>
            <w:vAlign w:val="center"/>
          </w:tcPr>
          <w:p>
            <w:pPr>
              <w:spacing w:line="520" w:lineRule="exact"/>
              <w:jc w:val="center"/>
              <w:rPr>
                <w:rFonts w:ascii="宋体" w:cs="Times New Roman"/>
                <w:kern w:val="0"/>
                <w:sz w:val="18"/>
                <w:szCs w:val="18"/>
              </w:rPr>
            </w:pPr>
          </w:p>
        </w:tc>
        <w:tc>
          <w:tcPr>
            <w:tcW w:w="4820" w:type="dxa"/>
            <w:vAlign w:val="center"/>
          </w:tcPr>
          <w:p>
            <w:pPr>
              <w:rPr>
                <w:rFonts w:ascii="宋体" w:cs="Times New Roman"/>
                <w:kern w:val="0"/>
                <w:sz w:val="18"/>
                <w:szCs w:val="18"/>
              </w:rPr>
            </w:pPr>
            <w:r>
              <w:rPr>
                <w:rFonts w:hint="eastAsia" w:ascii="宋体" w:hAnsi="宋体" w:cs="宋体"/>
                <w:color w:val="000000"/>
                <w:kern w:val="0"/>
                <w:sz w:val="18"/>
                <w:szCs w:val="18"/>
              </w:rPr>
              <w:t>其他符合监管要求的权益类资产</w:t>
            </w:r>
          </w:p>
        </w:tc>
        <w:tc>
          <w:tcPr>
            <w:tcW w:w="1842" w:type="dxa"/>
            <w:vMerge w:val="continue"/>
            <w:vAlign w:val="center"/>
          </w:tcPr>
          <w:p>
            <w:pPr>
              <w:spacing w:line="520" w:lineRule="exact"/>
              <w:jc w:val="center"/>
              <w:rPr>
                <w:rFonts w:ascii="宋体" w:cs="Times New Roman"/>
                <w:kern w:val="0"/>
                <w:sz w:val="18"/>
                <w:szCs w:val="18"/>
              </w:rPr>
            </w:pPr>
          </w:p>
        </w:tc>
      </w:tr>
    </w:tbl>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（三）投资策略</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本理财计划本着稳健投资的理念，基于宏观经济形势、货币政策、固定收益资产价格走势，采用安全性和流动性优先、优选投资品种，采取久期策略和信用策略来获取稳定收益。本产品以固定收益投资为主，主要投资于债券、存款、货币基金等高流动性资产并通过开展债券回购等融入或融出资金，以应对流动性需要和提高资金使用效率。</w:t>
      </w:r>
      <w:r>
        <w:rPr>
          <w:rFonts w:hint="eastAsia" w:ascii="宋体" w:cs="宋体"/>
          <w:b/>
          <w:sz w:val="21"/>
          <w:szCs w:val="21"/>
        </w:rPr>
        <w:t>本产品还可能根据市场行情，在监管政策允许的范围内，在适当的时机投资不高于理财产品总资产的20%的资金于权益类资产。</w:t>
      </w:r>
    </w:p>
    <w:p>
      <w:pPr>
        <w:pStyle w:val="30"/>
        <w:numPr>
          <w:ilvl w:val="0"/>
          <w:numId w:val="3"/>
        </w:numPr>
        <w:spacing w:line="360" w:lineRule="auto"/>
        <w:ind w:firstLine="420" w:firstLineChars="200"/>
        <w:rPr>
          <w:rFonts w:hint="eastAsia" w:ascii="宋体" w:cs="Times New Roman"/>
          <w:sz w:val="21"/>
          <w:szCs w:val="21"/>
        </w:rPr>
      </w:pPr>
      <w:r>
        <w:rPr>
          <w:rFonts w:hint="eastAsia" w:ascii="宋体" w:cs="宋体"/>
          <w:sz w:val="21"/>
          <w:szCs w:val="21"/>
        </w:rPr>
        <w:t>投资模拟情况</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按下列投资品的市场收益率或公允估值进行历史模拟，测算收益率如下（</w:t>
      </w:r>
      <w:r>
        <w:rPr>
          <w:rFonts w:hint="eastAsia" w:ascii="宋体" w:cs="宋体"/>
          <w:b/>
          <w:sz w:val="21"/>
          <w:szCs w:val="21"/>
        </w:rPr>
        <w:t>理财产品过往业绩不代表其未来表现，不等于理财产品实际收益，投资须谨慎</w:t>
      </w:r>
      <w:r>
        <w:rPr>
          <w:rFonts w:hint="eastAsia" w:ascii="宋体" w:cs="宋体"/>
          <w:sz w:val="21"/>
          <w:szCs w:val="21"/>
        </w:rPr>
        <w:t>）：</w:t>
      </w:r>
    </w:p>
    <w:tbl>
      <w:tblPr>
        <w:tblStyle w:val="13"/>
        <w:tblW w:w="9359" w:type="dxa"/>
        <w:jc w:val="center"/>
        <w:tblInd w:w="0" w:type="dxa"/>
        <w:tblLayout w:type="fixed"/>
        <w:tblCellMar>
          <w:top w:w="15" w:type="dxa"/>
          <w:left w:w="15" w:type="dxa"/>
          <w:bottom w:w="15" w:type="dxa"/>
          <w:right w:w="15" w:type="dxa"/>
        </w:tblCellMar>
      </w:tblPr>
      <w:tblGrid>
        <w:gridCol w:w="3572"/>
        <w:gridCol w:w="2148"/>
        <w:gridCol w:w="3639"/>
      </w:tblGrid>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资产类型</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收益率</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权重</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货币市场类工具</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1</w:t>
            </w:r>
            <w:r>
              <w:rPr>
                <w:rFonts w:ascii="宋体" w:hAnsi="宋体" w:cs="宋体"/>
                <w:color w:val="000000"/>
                <w:kern w:val="0"/>
                <w:sz w:val="18"/>
                <w:szCs w:val="18"/>
              </w:rPr>
              <w:t>%-4.</w:t>
            </w:r>
            <w:r>
              <w:rPr>
                <w:rFonts w:hint="eastAsia" w:ascii="宋体" w:hAnsi="宋体" w:cs="宋体"/>
                <w:color w:val="000000"/>
                <w:kern w:val="0"/>
                <w:sz w:val="18"/>
                <w:szCs w:val="18"/>
              </w:rPr>
              <w:t>0</w:t>
            </w:r>
            <w:r>
              <w:rPr>
                <w:rFonts w:ascii="宋体" w:hAnsi="宋体" w:cs="宋体"/>
                <w:color w:val="000000"/>
                <w:kern w:val="0"/>
                <w:sz w:val="18"/>
                <w:szCs w:val="18"/>
              </w:rPr>
              <w:t>%</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债券</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其他符合监管规定的债权类资产</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%-5.3%</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其他符合监管规定的资管计划</w:t>
            </w:r>
          </w:p>
        </w:tc>
        <w:tc>
          <w:tcPr>
            <w:tcW w:w="2148"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3.2</w:t>
            </w:r>
            <w:r>
              <w:rPr>
                <w:rFonts w:ascii="宋体" w:hAnsi="宋体" w:cs="宋体"/>
                <w:color w:val="000000"/>
                <w:kern w:val="0"/>
                <w:sz w:val="18"/>
                <w:szCs w:val="18"/>
              </w:rPr>
              <w:t>%-5.3%</w:t>
            </w:r>
          </w:p>
        </w:tc>
        <w:tc>
          <w:tcPr>
            <w:tcW w:w="3639"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历史数据投资组合模拟收益</w:t>
            </w:r>
          </w:p>
        </w:tc>
        <w:tc>
          <w:tcPr>
            <w:tcW w:w="57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%-5.0%</w:t>
            </w:r>
          </w:p>
        </w:tc>
      </w:tr>
      <w:tr>
        <w:tblPrEx>
          <w:tblLayout w:type="fixed"/>
          <w:tblCellMar>
            <w:top w:w="15" w:type="dxa"/>
            <w:left w:w="15" w:type="dxa"/>
            <w:bottom w:w="15" w:type="dxa"/>
            <w:right w:w="15" w:type="dxa"/>
          </w:tblCellMar>
        </w:tblPrEx>
        <w:trPr>
          <w:trHeight w:val="285" w:hRule="atLeast"/>
          <w:jc w:val="center"/>
        </w:trPr>
        <w:tc>
          <w:tcPr>
            <w:tcW w:w="9359" w:type="dxa"/>
            <w:gridSpan w:val="3"/>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注：如投资品在上述期间无市场成交收益率或公允估值，则市场收益率以市场报价数据为准。</w:t>
            </w:r>
          </w:p>
        </w:tc>
      </w:tr>
    </w:tbl>
    <w:p>
      <w:pPr>
        <w:pStyle w:val="8"/>
        <w:spacing w:before="0" w:after="0" w:line="520" w:lineRule="exact"/>
        <w:jc w:val="both"/>
        <w:rPr>
          <w:sz w:val="28"/>
          <w:szCs w:val="28"/>
        </w:rPr>
      </w:pPr>
      <w:r>
        <w:rPr>
          <w:rFonts w:hint="eastAsia" w:cs="宋体"/>
          <w:sz w:val="28"/>
          <w:szCs w:val="28"/>
        </w:rPr>
        <w:t>六、理财产品估值</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（一）估值日 </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本产品估值日为每个交易所工作日。</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（二）估值对象</w:t>
      </w:r>
    </w:p>
    <w:p>
      <w:pPr>
        <w:spacing w:line="520" w:lineRule="exact"/>
        <w:rPr>
          <w:rFonts w:hint="eastAsia" w:ascii="宋体" w:hAnsi="Wingdings" w:cs="Times New Roman"/>
          <w:color w:val="000000"/>
          <w:kern w:val="0"/>
        </w:rPr>
      </w:pPr>
      <w:r>
        <w:rPr>
          <w:rFonts w:hint="eastAsia" w:ascii="宋体" w:hAnsi="Wingdings" w:cs="宋体"/>
          <w:color w:val="000000"/>
          <w:kern w:val="0"/>
        </w:rPr>
        <w:t xml:space="preserve">    本理财产品所拥有的所有资产及负债。</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（三）估值目的 </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客观、准确反映理财产品的价值。 </w:t>
      </w:r>
    </w:p>
    <w:p>
      <w:pPr>
        <w:pStyle w:val="29"/>
        <w:spacing w:line="520" w:lineRule="exact"/>
        <w:rPr>
          <w:rFonts w:hint="eastAsia" w:ascii="宋体" w:hAnsi="Wingdings" w:cs="Times New Roman"/>
          <w:color w:val="000000"/>
          <w:kern w:val="0"/>
        </w:rPr>
      </w:pPr>
      <w:r>
        <w:rPr>
          <w:rFonts w:hint="eastAsia" w:ascii="宋体" w:hAnsi="Wingdings" w:cs="宋体"/>
          <w:color w:val="000000"/>
          <w:kern w:val="0"/>
        </w:rPr>
        <w:t>（四）估值方式</w:t>
      </w:r>
    </w:p>
    <w:p>
      <w:pPr>
        <w:pStyle w:val="29"/>
        <w:numPr>
          <w:ilvl w:val="255"/>
          <w:numId w:val="0"/>
        </w:numPr>
        <w:ind w:firstLine="420" w:firstLineChars="200"/>
        <w:rPr>
          <w:rFonts w:hint="eastAsia" w:ascii="宋体" w:hAnsi="Wingdings" w:cs="Times New Roman"/>
          <w:color w:val="000000"/>
          <w:kern w:val="0"/>
        </w:rPr>
      </w:pPr>
      <w:r>
        <w:rPr>
          <w:rFonts w:hint="eastAsia" w:ascii="宋体" w:hAnsi="Wingdings" w:cs="Times New Roman"/>
          <w:color w:val="000000"/>
          <w:kern w:val="0"/>
        </w:rPr>
        <w:t>1.</w:t>
      </w:r>
      <w:r>
        <w:rPr>
          <w:rFonts w:hint="eastAsia" w:ascii="宋体" w:cs="宋体"/>
        </w:rPr>
        <w:t>存款、债券回购、拆借及存放同业。</w:t>
      </w:r>
    </w:p>
    <w:p>
      <w:pPr>
        <w:pStyle w:val="30"/>
        <w:spacing w:line="360" w:lineRule="auto"/>
        <w:ind w:firstLine="630" w:firstLineChars="300"/>
        <w:rPr>
          <w:rFonts w:hint="eastAsia" w:ascii="宋体" w:cs="宋体"/>
        </w:rPr>
      </w:pPr>
      <w:r>
        <w:rPr>
          <w:rFonts w:hint="eastAsia" w:ascii="宋体" w:cs="宋体"/>
          <w:sz w:val="21"/>
          <w:szCs w:val="21"/>
        </w:rPr>
        <w:t>按成本估值，逐日计提利息。</w:t>
      </w:r>
    </w:p>
    <w:p>
      <w:pPr>
        <w:pStyle w:val="30"/>
        <w:numPr>
          <w:ilvl w:val="0"/>
          <w:numId w:val="4"/>
        </w:numPr>
        <w:spacing w:line="360" w:lineRule="auto"/>
        <w:ind w:left="420" w:leftChars="200"/>
        <w:rPr>
          <w:rFonts w:hint="eastAsia" w:ascii="宋体" w:cs="宋体"/>
          <w:sz w:val="21"/>
          <w:szCs w:val="21"/>
        </w:rPr>
      </w:pPr>
      <w:r>
        <w:rPr>
          <w:rFonts w:hint="eastAsia" w:ascii="宋体" w:cs="宋体"/>
          <w:sz w:val="21"/>
          <w:szCs w:val="21"/>
        </w:rPr>
        <w:t>债券、票据、资产支持证券等固定收益类资产。</w:t>
      </w:r>
    </w:p>
    <w:p>
      <w:pPr>
        <w:pStyle w:val="30"/>
        <w:numPr>
          <w:ilvl w:val="0"/>
          <w:numId w:val="5"/>
        </w:numPr>
        <w:spacing w:line="360" w:lineRule="auto"/>
        <w:rPr>
          <w:rFonts w:hint="eastAsia" w:ascii="宋体" w:cs="宋体"/>
        </w:rPr>
      </w:pPr>
      <w:r>
        <w:rPr>
          <w:rFonts w:ascii="宋体" w:cs="宋体"/>
          <w:sz w:val="21"/>
          <w:szCs w:val="21"/>
        </w:rPr>
        <w:t>以持有到期为目的持有的债券</w:t>
      </w:r>
      <w:r>
        <w:rPr>
          <w:rFonts w:hint="eastAsia" w:ascii="宋体" w:cs="宋体"/>
          <w:sz w:val="21"/>
          <w:szCs w:val="21"/>
        </w:rPr>
        <w:t>按摊余成本法估值。</w:t>
      </w:r>
    </w:p>
    <w:p>
      <w:pPr>
        <w:pStyle w:val="30"/>
        <w:spacing w:line="360" w:lineRule="auto"/>
        <w:rPr>
          <w:rFonts w:hint="eastAsia" w:ascii="宋体" w:cs="宋体"/>
        </w:rPr>
      </w:pPr>
      <w:r>
        <w:rPr>
          <w:rFonts w:hint="eastAsia" w:ascii="宋体" w:cs="宋体"/>
          <w:sz w:val="21"/>
          <w:szCs w:val="21"/>
        </w:rPr>
        <w:t xml:space="preserve">（2）  </w:t>
      </w:r>
      <w:r>
        <w:rPr>
          <w:rFonts w:ascii="宋体" w:cs="宋体"/>
          <w:sz w:val="21"/>
          <w:szCs w:val="21"/>
        </w:rPr>
        <w:t>以交易为目的持有的债券按市价法估值。</w:t>
      </w:r>
    </w:p>
    <w:p>
      <w:pPr>
        <w:pStyle w:val="30"/>
        <w:spacing w:line="360" w:lineRule="auto"/>
        <w:ind w:firstLine="420" w:firstLineChars="200"/>
        <w:rPr>
          <w:rFonts w:hint="eastAsia" w:ascii="宋体" w:cs="宋体"/>
          <w:sz w:val="21"/>
          <w:szCs w:val="21"/>
        </w:rPr>
      </w:pPr>
      <w:r>
        <w:rPr>
          <w:rFonts w:hint="eastAsia" w:ascii="宋体" w:cs="宋体"/>
          <w:sz w:val="21"/>
          <w:szCs w:val="21"/>
        </w:rPr>
        <w:t>3.基金、信托计划、资产管理计划等资产。</w:t>
      </w:r>
    </w:p>
    <w:p>
      <w:pPr>
        <w:pStyle w:val="30"/>
        <w:spacing w:line="360" w:lineRule="auto"/>
        <w:rPr>
          <w:rFonts w:hint="eastAsia" w:ascii="宋体" w:cs="宋体"/>
        </w:rPr>
      </w:pPr>
      <w:r>
        <w:rPr>
          <w:rFonts w:hint="eastAsia" w:ascii="宋体" w:cs="宋体"/>
          <w:sz w:val="21"/>
          <w:szCs w:val="21"/>
        </w:rPr>
        <w:t>（1） 若合同约定估值方案，以基金、信托计划、资产管理计划的管理人提供的最新报价估值。报价包括资产的单位净值、每万份收益以及其他形式的投资收益。</w:t>
      </w:r>
    </w:p>
    <w:p>
      <w:pPr>
        <w:pStyle w:val="30"/>
        <w:spacing w:line="360" w:lineRule="auto"/>
        <w:rPr>
          <w:rFonts w:hint="eastAsia" w:ascii="宋体" w:cs="宋体"/>
        </w:rPr>
      </w:pPr>
      <w:r>
        <w:rPr>
          <w:rFonts w:hint="eastAsia" w:ascii="宋体" w:cs="宋体"/>
          <w:sz w:val="21"/>
          <w:szCs w:val="21"/>
        </w:rPr>
        <w:t>（2） 如合同未约定估值方案，但有确定的预期收益率的，则按成本法估值，定期计提预期收益。如该类资产存续期间发生影响资产未来现金流的重大事件的，经管理人合理判断对资产价值进行重估。</w:t>
      </w:r>
    </w:p>
    <w:p>
      <w:pPr>
        <w:pStyle w:val="30"/>
        <w:numPr>
          <w:ilvl w:val="255"/>
          <w:numId w:val="0"/>
        </w:numPr>
        <w:spacing w:line="360" w:lineRule="auto"/>
        <w:ind w:firstLine="420" w:firstLineChars="200"/>
        <w:rPr>
          <w:rFonts w:hint="eastAsia" w:ascii="宋体" w:cs="宋体"/>
          <w:sz w:val="21"/>
          <w:szCs w:val="21"/>
        </w:rPr>
      </w:pPr>
      <w:r>
        <w:rPr>
          <w:rFonts w:hint="eastAsia" w:ascii="宋体" w:cs="宋体"/>
          <w:sz w:val="21"/>
          <w:szCs w:val="21"/>
        </w:rPr>
        <w:t>4.在证券交易所上市的股票。</w:t>
      </w:r>
    </w:p>
    <w:p>
      <w:pPr>
        <w:pStyle w:val="30"/>
        <w:spacing w:line="360" w:lineRule="auto"/>
        <w:ind w:firstLine="420" w:firstLineChars="200"/>
        <w:rPr>
          <w:rFonts w:hint="eastAsia" w:ascii="宋体" w:cs="宋体"/>
          <w:sz w:val="21"/>
          <w:szCs w:val="21"/>
        </w:rPr>
      </w:pPr>
      <w:r>
        <w:rPr>
          <w:rFonts w:hint="eastAsia" w:ascii="宋体" w:cs="宋体"/>
          <w:sz w:val="21"/>
          <w:szCs w:val="21"/>
        </w:rPr>
        <w:t>以其估值日在证券交易所挂牌的市价（收盘价）估值；估值日无交易的，最近交易日后经济环境未发生重大变化且证券发行机构未发生影响证券价格的重大事件的，以最近交易日的市价（收盘价）估值；最近交易日后经济环境发生了重大变化或证券发行机构发生影响证券价格的重大事件的，参考类似投资品种的现行市价及重大变化因素调整最近交易市价；对于长期停牌股票，按行业通行的估值方法处理。</w:t>
      </w:r>
    </w:p>
    <w:p>
      <w:pPr>
        <w:pStyle w:val="30"/>
        <w:numPr>
          <w:ilvl w:val="0"/>
          <w:numId w:val="6"/>
        </w:numPr>
        <w:spacing w:line="360" w:lineRule="auto"/>
        <w:ind w:firstLine="420" w:firstLineChars="200"/>
        <w:rPr>
          <w:rFonts w:hint="eastAsia" w:ascii="宋体" w:cs="宋体"/>
          <w:sz w:val="21"/>
          <w:szCs w:val="21"/>
        </w:rPr>
      </w:pPr>
      <w:r>
        <w:rPr>
          <w:rFonts w:hint="eastAsia" w:ascii="宋体" w:cs="宋体"/>
          <w:sz w:val="21"/>
          <w:szCs w:val="21"/>
        </w:rPr>
        <w:t>期货、互换、期权、权证等衍生金融工具。</w:t>
      </w:r>
    </w:p>
    <w:p>
      <w:pPr>
        <w:pStyle w:val="30"/>
        <w:spacing w:line="360" w:lineRule="auto"/>
        <w:ind w:firstLine="420" w:firstLineChars="200"/>
        <w:rPr>
          <w:rFonts w:hint="eastAsia" w:ascii="宋体" w:cs="宋体"/>
        </w:rPr>
      </w:pPr>
      <w:r>
        <w:rPr>
          <w:rFonts w:hint="eastAsia" w:ascii="宋体" w:cs="宋体"/>
          <w:sz w:val="21"/>
          <w:szCs w:val="21"/>
        </w:rPr>
        <w:t>场内交易以交易所最近交易日结算价或收盘价进行估值，场外交易按照第三方机构（上海清算所等）提供的估值数据、或管理人认可的模型估值和参数处理模式进行估值。</w:t>
      </w:r>
    </w:p>
    <w:p>
      <w:pPr>
        <w:pStyle w:val="30"/>
        <w:numPr>
          <w:ilvl w:val="0"/>
          <w:numId w:val="6"/>
        </w:numPr>
        <w:spacing w:line="360" w:lineRule="auto"/>
        <w:ind w:firstLine="420" w:firstLineChars="200"/>
        <w:rPr>
          <w:rFonts w:hint="eastAsia" w:ascii="宋体" w:cs="宋体"/>
          <w:sz w:val="21"/>
          <w:szCs w:val="21"/>
        </w:rPr>
      </w:pPr>
      <w:r>
        <w:rPr>
          <w:rFonts w:hint="eastAsia" w:ascii="宋体" w:cs="宋体"/>
          <w:sz w:val="21"/>
          <w:szCs w:val="21"/>
        </w:rPr>
        <w:t>其他资产的估值方法。</w:t>
      </w:r>
    </w:p>
    <w:p>
      <w:pPr>
        <w:pStyle w:val="30"/>
        <w:spacing w:line="360" w:lineRule="auto"/>
        <w:ind w:firstLine="420" w:firstLineChars="200"/>
        <w:rPr>
          <w:rFonts w:hint="eastAsia" w:ascii="宋体" w:cs="宋体"/>
        </w:rPr>
      </w:pPr>
      <w:r>
        <w:rPr>
          <w:rFonts w:hint="eastAsia" w:ascii="宋体" w:cs="宋体"/>
          <w:sz w:val="21"/>
          <w:szCs w:val="21"/>
        </w:rPr>
        <w:t>其他资产存在公允价值的，按照公允价值估值，公允价值不能确定的按取得时的成本用成本法进行估值。国家有最新规定的按其规定进行估值。</w:t>
      </w:r>
    </w:p>
    <w:p>
      <w:pPr>
        <w:pStyle w:val="30"/>
        <w:spacing w:line="360" w:lineRule="auto"/>
        <w:ind w:firstLine="420" w:firstLineChars="200"/>
        <w:rPr>
          <w:rFonts w:hint="eastAsia" w:ascii="宋体" w:cs="宋体"/>
          <w:sz w:val="21"/>
          <w:szCs w:val="21"/>
        </w:rPr>
      </w:pPr>
      <w:r>
        <w:rPr>
          <w:rFonts w:hint="eastAsia" w:ascii="宋体" w:cs="宋体"/>
          <w:sz w:val="21"/>
          <w:szCs w:val="21"/>
        </w:rPr>
        <w:t>当理财产品管理人或托管人认为按上述方法对理财产品进行估值不能客观反映其公允价值的，可以在协商一致后变更估值方法，并自协商一致日后执行。如在本产品发行、募集、管理期间，有权管理机关对财务报告准则、估值核算方法标准进行调整，管理人有权根据相关机关要求对本产品的估值方法进行相应修改。</w:t>
      </w:r>
    </w:p>
    <w:p>
      <w:pPr>
        <w:rPr>
          <w:rFonts w:ascii="宋体" w:hAnsi="宋体" w:cs="宋体"/>
          <w:kern w:val="0"/>
        </w:rPr>
      </w:pPr>
      <w:r>
        <w:rPr>
          <w:rFonts w:hint="eastAsia" w:ascii="宋体" w:hAnsi="宋体" w:cs="宋体"/>
          <w:kern w:val="0"/>
        </w:rPr>
        <w:t xml:space="preserve">   （五）估值差错处理</w:t>
      </w:r>
    </w:p>
    <w:p>
      <w:pPr>
        <w:pStyle w:val="30"/>
        <w:spacing w:line="360" w:lineRule="auto"/>
        <w:ind w:firstLine="420" w:firstLineChars="200"/>
        <w:rPr>
          <w:rFonts w:hint="eastAsia" w:ascii="宋体" w:cs="宋体"/>
        </w:rPr>
      </w:pPr>
      <w:r>
        <w:rPr>
          <w:rFonts w:hint="eastAsia" w:ascii="宋体" w:cs="宋体"/>
          <w:sz w:val="21"/>
          <w:szCs w:val="21"/>
        </w:rPr>
        <w:t>如理财管理人或理财托管人发现资产估值违反本说明书约定的估值方法、程序及相关法律法规的规定或者未能充分维护理财委托人利益时，应立即通知对方，共同查明原因，协商解决，如经相关各方在平等基础上充分讨论后，仍无法达成一致意见，以理财管理人意见为准。当委托财产估值提交委托人后发现存在错误时，理财管理人和理财托管人应该立即报告理财委托人并及时更正。</w:t>
      </w:r>
    </w:p>
    <w:p>
      <w:pPr>
        <w:ind w:firstLine="283" w:firstLineChars="135"/>
        <w:rPr>
          <w:rFonts w:ascii="宋体" w:hAnsi="宋体" w:cs="宋体"/>
          <w:kern w:val="0"/>
        </w:rPr>
      </w:pPr>
      <w:r>
        <w:rPr>
          <w:rFonts w:ascii="宋体" w:hAnsi="宋体" w:cs="宋体"/>
          <w:kern w:val="0"/>
        </w:rPr>
        <w:t>（六）资产账册的建立</w:t>
      </w:r>
    </w:p>
    <w:p>
      <w:pPr>
        <w:pStyle w:val="30"/>
        <w:spacing w:line="360" w:lineRule="auto"/>
        <w:ind w:firstLine="420" w:firstLineChars="200"/>
        <w:rPr>
          <w:rFonts w:hint="eastAsia" w:ascii="宋体" w:cs="宋体"/>
          <w:sz w:val="21"/>
          <w:szCs w:val="21"/>
        </w:rPr>
      </w:pPr>
      <w:r>
        <w:rPr>
          <w:rFonts w:hint="eastAsia" w:ascii="宋体" w:cs="宋体"/>
          <w:sz w:val="21"/>
          <w:szCs w:val="21"/>
        </w:rPr>
        <w:t>理财管理人和理财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管理人的处理方法为准。</w:t>
      </w:r>
    </w:p>
    <w:p>
      <w:pPr>
        <w:pStyle w:val="8"/>
        <w:spacing w:before="0" w:after="0" w:line="520" w:lineRule="exact"/>
        <w:jc w:val="both"/>
        <w:rPr>
          <w:sz w:val="28"/>
          <w:szCs w:val="28"/>
        </w:rPr>
      </w:pPr>
      <w:r>
        <w:rPr>
          <w:rFonts w:hint="eastAsia" w:cs="宋体"/>
          <w:sz w:val="28"/>
          <w:szCs w:val="28"/>
        </w:rPr>
        <w:t>七、理财计划收益和相关费用</w:t>
      </w:r>
    </w:p>
    <w:p>
      <w:pPr>
        <w:spacing w:line="520" w:lineRule="exact"/>
        <w:ind w:firstLine="420" w:firstLineChars="200"/>
        <w:rPr>
          <w:rFonts w:ascii="宋体" w:cs="Times New Roman"/>
          <w:kern w:val="0"/>
        </w:rPr>
      </w:pPr>
      <w:r>
        <w:rPr>
          <w:rFonts w:hint="eastAsia" w:ascii="宋体" w:hAnsi="宋体" w:cs="宋体"/>
          <w:kern w:val="0"/>
        </w:rPr>
        <w:t>（一）收益计算公式</w:t>
      </w:r>
    </w:p>
    <w:p>
      <w:pPr>
        <w:spacing w:line="520" w:lineRule="exact"/>
        <w:ind w:firstLine="422" w:firstLineChars="200"/>
        <w:rPr>
          <w:rFonts w:ascii="宋体" w:cs="Times New Roman"/>
          <w:b/>
          <w:kern w:val="0"/>
        </w:rPr>
      </w:pPr>
      <w:r>
        <w:rPr>
          <w:rFonts w:hint="eastAsia" w:ascii="宋体" w:hAnsi="宋体" w:cs="宋体"/>
          <w:b/>
          <w:kern w:val="0"/>
        </w:rPr>
        <w:t>投资者理财收益＝赎回确认时的单位净值×赎回确认时份额+持有期分红收益</w:t>
      </w:r>
      <w:r>
        <w:rPr>
          <w:rFonts w:ascii="宋体" w:cs="宋体"/>
          <w:b/>
          <w:kern w:val="0"/>
        </w:rPr>
        <w:t>-</w:t>
      </w:r>
      <w:r>
        <w:rPr>
          <w:rFonts w:hint="eastAsia" w:ascii="宋体" w:hAnsi="宋体" w:cs="宋体"/>
          <w:b/>
          <w:kern w:val="0"/>
        </w:rPr>
        <w:t>投资本金。</w:t>
      </w:r>
    </w:p>
    <w:p>
      <w:pPr>
        <w:spacing w:line="520" w:lineRule="exact"/>
        <w:ind w:firstLine="420" w:firstLineChars="200"/>
        <w:rPr>
          <w:rFonts w:ascii="宋体" w:cs="Times New Roman"/>
          <w:kern w:val="0"/>
        </w:rPr>
      </w:pPr>
      <w:r>
        <w:rPr>
          <w:rFonts w:hint="eastAsia" w:ascii="宋体" w:hAnsi="宋体" w:cs="宋体"/>
          <w:kern w:val="0"/>
        </w:rPr>
        <w:t>确认日确认的单位净值为确认日确认的提取增值税和各相关费用后的理财产品单位份额净值。</w:t>
      </w:r>
    </w:p>
    <w:p>
      <w:pPr>
        <w:pStyle w:val="34"/>
        <w:numPr>
          <w:ilvl w:val="0"/>
          <w:numId w:val="7"/>
        </w:numPr>
        <w:spacing w:line="520" w:lineRule="exact"/>
        <w:ind w:firstLineChars="0"/>
        <w:rPr>
          <w:rFonts w:ascii="宋体" w:hAnsi="宋体" w:cs="宋体"/>
          <w:kern w:val="0"/>
        </w:rPr>
      </w:pPr>
      <w:r>
        <w:rPr>
          <w:rFonts w:hint="eastAsia" w:ascii="宋体" w:hAnsi="宋体" w:cs="宋体"/>
          <w:kern w:val="0"/>
        </w:rPr>
        <w:t>本理财计划的各相关费用</w:t>
      </w:r>
    </w:p>
    <w:p>
      <w:pPr>
        <w:widowControl/>
        <w:numPr>
          <w:ilvl w:val="0"/>
          <w:numId w:val="8"/>
        </w:numPr>
        <w:spacing w:line="300" w:lineRule="auto"/>
        <w:contextualSpacing/>
        <w:outlineLvl w:val="0"/>
        <w:rPr>
          <w:rFonts w:ascii="宋体" w:hAnsi="宋体"/>
          <w:color w:val="000000"/>
        </w:rPr>
      </w:pPr>
      <w:r>
        <w:rPr>
          <w:rFonts w:hint="eastAsia" w:ascii="宋体" w:hAnsi="宋体"/>
          <w:color w:val="000000"/>
          <w:lang w:eastAsia="zh-CN"/>
        </w:rPr>
        <w:t>销售服务费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w:t>
      </w:r>
      <w:r>
        <w:rPr>
          <w:rFonts w:hint="eastAsia" w:ascii="宋体" w:hAnsi="宋体"/>
          <w:color w:val="000000"/>
          <w:lang w:val="en-US" w:eastAsia="zh-CN"/>
        </w:rPr>
        <w:t>A份额</w:t>
      </w:r>
      <w:r>
        <w:rPr>
          <w:rFonts w:hint="eastAsia" w:ascii="宋体" w:hAnsi="宋体"/>
          <w:color w:val="000000"/>
        </w:rPr>
        <w:t>的年化</w:t>
      </w:r>
      <w:r>
        <w:rPr>
          <w:rFonts w:hint="eastAsia" w:ascii="宋体" w:hAnsi="宋体"/>
          <w:color w:val="000000"/>
          <w:lang w:eastAsia="zh-CN"/>
        </w:rPr>
        <w:t>销售服务费</w:t>
      </w:r>
      <w:r>
        <w:rPr>
          <w:rFonts w:hint="eastAsia" w:ascii="宋体" w:hAnsi="宋体"/>
          <w:color w:val="000000"/>
        </w:rPr>
        <w:t>率为0</w:t>
      </w:r>
      <w:r>
        <w:rPr>
          <w:rFonts w:hint="eastAsia" w:ascii="宋体" w:hAnsi="宋体"/>
          <w:color w:val="000000"/>
          <w:lang w:val="en-US" w:eastAsia="zh-CN"/>
        </w:rPr>
        <w:t>.2</w:t>
      </w:r>
      <w:r>
        <w:rPr>
          <w:rFonts w:hint="eastAsia" w:ascii="宋体" w:hAnsi="宋体"/>
          <w:color w:val="000000"/>
        </w:rPr>
        <w:t>%，</w:t>
      </w:r>
      <w:r>
        <w:rPr>
          <w:rFonts w:hint="eastAsia" w:ascii="宋体" w:hAnsi="宋体"/>
          <w:color w:val="000000"/>
          <w:lang w:val="en-US" w:eastAsia="zh-CN"/>
        </w:rPr>
        <w:t>B份额</w:t>
      </w:r>
      <w:r>
        <w:rPr>
          <w:rFonts w:hint="eastAsia" w:ascii="宋体" w:hAnsi="宋体"/>
          <w:color w:val="000000"/>
        </w:rPr>
        <w:t>的年化</w:t>
      </w:r>
      <w:r>
        <w:rPr>
          <w:rFonts w:hint="eastAsia" w:ascii="宋体" w:hAnsi="宋体"/>
          <w:color w:val="000000"/>
          <w:lang w:eastAsia="zh-CN"/>
        </w:rPr>
        <w:t>销售服务费</w:t>
      </w:r>
      <w:r>
        <w:rPr>
          <w:rFonts w:hint="eastAsia" w:ascii="宋体" w:hAnsi="宋体"/>
          <w:color w:val="000000"/>
        </w:rPr>
        <w:t>率为0</w:t>
      </w:r>
      <w:r>
        <w:rPr>
          <w:rFonts w:hint="eastAsia" w:ascii="宋体" w:hAnsi="宋体"/>
          <w:color w:val="000000"/>
          <w:lang w:val="en-US" w:eastAsia="zh-CN"/>
        </w:rPr>
        <w:t>.1</w:t>
      </w:r>
      <w:r>
        <w:rPr>
          <w:rFonts w:hint="eastAsia" w:ascii="宋体" w:hAnsi="宋体"/>
          <w:color w:val="000000"/>
        </w:rPr>
        <w:t>%</w:t>
      </w:r>
      <w:r>
        <w:rPr>
          <w:rFonts w:hint="eastAsia" w:ascii="宋体" w:hAnsi="宋体"/>
          <w:color w:val="000000"/>
          <w:lang w:eastAsia="zh-CN"/>
        </w:rPr>
        <w:t>。</w:t>
      </w:r>
      <w:r>
        <w:rPr>
          <w:rFonts w:hint="eastAsia" w:ascii="宋体" w:hAnsi="宋体"/>
          <w:color w:val="000000"/>
          <w:lang w:val="en-US" w:eastAsia="zh-CN"/>
        </w:rPr>
        <w:t>以A份额为例，</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.2</w:t>
      </w:r>
      <w:r>
        <w:rPr>
          <w:rFonts w:hint="eastAsia" w:ascii="宋体" w:hAnsi="宋体"/>
          <w:color w:val="000000"/>
        </w:rPr>
        <w:t>％/365</w:t>
      </w:r>
    </w:p>
    <w:p>
      <w:pPr>
        <w:widowControl/>
        <w:spacing w:line="300" w:lineRule="auto"/>
        <w:contextualSpacing/>
        <w:outlineLvl w:val="0"/>
        <w:rPr>
          <w:rFonts w:hint="eastAsia" w:ascii="宋体" w:hAnsi="宋体" w:eastAsia="宋体"/>
          <w:color w:val="000000"/>
          <w:lang w:eastAsia="zh-CN"/>
        </w:rPr>
      </w:pPr>
      <w:r>
        <w:rPr>
          <w:rFonts w:hint="eastAsia" w:ascii="宋体" w:hAnsi="宋体"/>
          <w:color w:val="000000"/>
        </w:rPr>
        <w:t xml:space="preserve">    H为每日应计提的</w:t>
      </w:r>
      <w:r>
        <w:rPr>
          <w:rFonts w:hint="eastAsia" w:ascii="宋体" w:hAnsi="宋体"/>
          <w:color w:val="000000"/>
          <w:lang w:eastAsia="zh-CN"/>
        </w:rPr>
        <w:t>销售服务费</w:t>
      </w:r>
    </w:p>
    <w:p>
      <w:pPr>
        <w:widowControl/>
        <w:spacing w:line="300" w:lineRule="auto"/>
        <w:contextualSpacing/>
        <w:outlineLvl w:val="0"/>
        <w:rPr>
          <w:rFonts w:ascii="宋体" w:hAnsi="宋体"/>
          <w:color w:val="000000"/>
        </w:rPr>
      </w:pPr>
      <w:r>
        <w:rPr>
          <w:rFonts w:hint="eastAsia" w:ascii="宋体" w:hAnsi="宋体"/>
          <w:color w:val="000000"/>
        </w:rPr>
        <w:t xml:space="preserve">    E为本产品前一日资产净值</w:t>
      </w:r>
    </w:p>
    <w:p>
      <w:pPr>
        <w:widowControl/>
        <w:spacing w:line="300" w:lineRule="auto"/>
        <w:ind w:left="400"/>
        <w:contextualSpacing/>
        <w:outlineLvl w:val="0"/>
        <w:rPr>
          <w:rFonts w:ascii="宋体" w:hAnsi="宋体"/>
          <w:color w:val="000000"/>
        </w:rPr>
      </w:pPr>
      <w:r>
        <w:rPr>
          <w:rFonts w:hint="eastAsia" w:ascii="宋体" w:hAnsi="宋体"/>
          <w:color w:val="000000"/>
          <w:lang w:eastAsia="zh-CN"/>
        </w:rPr>
        <w:t>销售服务费</w:t>
      </w:r>
      <w:r>
        <w:rPr>
          <w:rFonts w:hint="eastAsia" w:ascii="宋体" w:hAnsi="宋体"/>
          <w:color w:val="000000"/>
        </w:rPr>
        <w:t>原则上按日计提</w:t>
      </w:r>
      <w:r>
        <w:rPr>
          <w:rFonts w:hint="eastAsia" w:ascii="宋体" w:hAnsi="宋体" w:cs="宋体"/>
          <w:kern w:val="0"/>
        </w:rPr>
        <w:t>。</w:t>
      </w:r>
    </w:p>
    <w:p>
      <w:pPr>
        <w:widowControl/>
        <w:numPr>
          <w:ilvl w:val="0"/>
          <w:numId w:val="8"/>
        </w:numPr>
        <w:spacing w:line="300" w:lineRule="auto"/>
        <w:contextualSpacing/>
        <w:outlineLvl w:val="0"/>
        <w:rPr>
          <w:rFonts w:ascii="宋体" w:hAnsi="宋体"/>
          <w:color w:val="000000"/>
        </w:rPr>
      </w:pPr>
      <w:r>
        <w:rPr>
          <w:rFonts w:hint="eastAsia" w:ascii="宋体" w:hAnsi="宋体"/>
          <w:color w:val="000000"/>
        </w:rPr>
        <w:t>托管费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理财计划财产的年化托管费为0.025%，计算方法如下：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H＝E*0.025％/365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H为每日应计提的托管费</w:t>
      </w:r>
    </w:p>
    <w:p>
      <w:pPr>
        <w:widowControl/>
        <w:spacing w:line="300" w:lineRule="auto"/>
        <w:ind w:firstLine="420"/>
        <w:contextualSpacing/>
        <w:outlineLvl w:val="0"/>
        <w:rPr>
          <w:rFonts w:ascii="宋体" w:hAnsi="宋体"/>
          <w:color w:val="000000"/>
        </w:rPr>
      </w:pPr>
      <w:r>
        <w:rPr>
          <w:rFonts w:hint="eastAsia" w:ascii="宋体" w:hAnsi="宋体"/>
          <w:color w:val="000000"/>
        </w:rPr>
        <w:t>E为本产品前一日资产净值</w:t>
      </w:r>
    </w:p>
    <w:p>
      <w:pPr>
        <w:widowControl/>
        <w:spacing w:line="300" w:lineRule="auto"/>
        <w:ind w:firstLine="420"/>
        <w:contextualSpacing/>
        <w:outlineLvl w:val="0"/>
        <w:rPr>
          <w:rFonts w:ascii="宋体" w:hAnsi="宋体"/>
          <w:color w:val="000000"/>
        </w:rPr>
      </w:pPr>
      <w:r>
        <w:rPr>
          <w:rFonts w:hint="eastAsia" w:ascii="宋体" w:hAnsi="宋体"/>
          <w:color w:val="000000"/>
        </w:rPr>
        <w:t>托管费原则上按日计提</w:t>
      </w:r>
      <w:r>
        <w:rPr>
          <w:rFonts w:hint="eastAsia" w:ascii="宋体" w:hAnsi="宋体" w:cs="宋体"/>
          <w:kern w:val="0"/>
        </w:rPr>
        <w:t>。</w:t>
      </w:r>
    </w:p>
    <w:p>
      <w:pPr>
        <w:widowControl/>
        <w:numPr>
          <w:ilvl w:val="0"/>
          <w:numId w:val="8"/>
        </w:numPr>
        <w:spacing w:line="300" w:lineRule="auto"/>
        <w:contextualSpacing/>
        <w:outlineLvl w:val="0"/>
        <w:rPr>
          <w:rFonts w:ascii="宋体" w:hAnsi="宋体"/>
          <w:color w:val="000000"/>
        </w:rPr>
      </w:pPr>
      <w:r>
        <w:rPr>
          <w:rFonts w:hint="eastAsia" w:ascii="宋体" w:hAnsi="宋体"/>
          <w:color w:val="000000"/>
        </w:rPr>
        <w:t>固定管理费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w:t>
      </w:r>
      <w:r>
        <w:rPr>
          <w:rFonts w:hint="eastAsia" w:ascii="宋体" w:hAnsi="宋体"/>
          <w:color w:val="000000"/>
          <w:lang w:val="en-US" w:eastAsia="zh-CN"/>
        </w:rPr>
        <w:t>A份额</w:t>
      </w:r>
      <w:r>
        <w:rPr>
          <w:rFonts w:hint="eastAsia" w:ascii="宋体" w:hAnsi="宋体"/>
          <w:color w:val="000000"/>
        </w:rPr>
        <w:t>的年化固定管理费率为0.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val="en-US" w:eastAsia="zh-CN"/>
        </w:rPr>
        <w:t>B份额</w:t>
      </w:r>
      <w:r>
        <w:rPr>
          <w:rFonts w:hint="eastAsia" w:ascii="宋体" w:hAnsi="宋体"/>
          <w:color w:val="000000"/>
        </w:rPr>
        <w:t>的年化固定管理费率为0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eastAsia="zh-CN"/>
        </w:rPr>
        <w:t>。</w:t>
      </w:r>
      <w:r>
        <w:rPr>
          <w:rFonts w:hint="eastAsia" w:ascii="宋体" w:hAnsi="宋体"/>
          <w:color w:val="000000"/>
          <w:lang w:val="en-US" w:eastAsia="zh-CN"/>
        </w:rPr>
        <w:t>以A份额为例，</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4</w:t>
      </w:r>
      <w:r>
        <w:rPr>
          <w:rFonts w:hint="eastAsia" w:ascii="宋体" w:hAnsi="宋体"/>
          <w:color w:val="000000"/>
        </w:rPr>
        <w:t>％/365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w:t>
      </w:r>
      <w:r>
        <w:rPr>
          <w:rFonts w:hint="eastAsia" w:ascii="宋体" w:hAnsi="宋体"/>
          <w:color w:val="000000"/>
          <w:lang w:val="en-US" w:eastAsia="zh-CN"/>
        </w:rPr>
        <w:t>固定</w:t>
      </w:r>
      <w:r>
        <w:rPr>
          <w:rFonts w:hint="eastAsia" w:ascii="宋体" w:hAnsi="宋体"/>
          <w:color w:val="000000"/>
        </w:rPr>
        <w:t>管理费</w:t>
      </w:r>
    </w:p>
    <w:p>
      <w:pPr>
        <w:widowControl/>
        <w:spacing w:line="300" w:lineRule="auto"/>
        <w:ind w:firstLine="420" w:firstLineChars="200"/>
        <w:contextualSpacing/>
        <w:outlineLvl w:val="0"/>
        <w:rPr>
          <w:rFonts w:ascii="宋体" w:hAnsi="宋体"/>
          <w:color w:val="000000"/>
        </w:rPr>
      </w:pPr>
      <w:r>
        <w:rPr>
          <w:rFonts w:hint="eastAsia" w:ascii="宋体" w:hAnsi="宋体"/>
          <w:color w:val="000000"/>
        </w:rPr>
        <w:t>E为本产品前一日资产净值</w:t>
      </w:r>
    </w:p>
    <w:p>
      <w:pPr>
        <w:widowControl/>
        <w:spacing w:line="300" w:lineRule="auto"/>
        <w:contextualSpacing/>
        <w:outlineLvl w:val="0"/>
        <w:rPr>
          <w:rFonts w:ascii="宋体" w:hAnsi="宋体"/>
          <w:color w:val="000000"/>
        </w:rPr>
      </w:pPr>
      <w:r>
        <w:rPr>
          <w:rFonts w:hint="eastAsia" w:ascii="宋体" w:hAnsi="宋体"/>
          <w:color w:val="000000"/>
        </w:rPr>
        <w:t xml:space="preserve">    固定管理费原则上按日计提</w:t>
      </w:r>
      <w:r>
        <w:rPr>
          <w:rFonts w:hint="eastAsia" w:ascii="宋体" w:hAnsi="宋体" w:cs="宋体"/>
          <w:kern w:val="0"/>
        </w:rPr>
        <w:t>。</w:t>
      </w:r>
    </w:p>
    <w:p>
      <w:pPr>
        <w:widowControl/>
        <w:numPr>
          <w:ilvl w:val="0"/>
          <w:numId w:val="8"/>
        </w:numPr>
        <w:spacing w:line="300" w:lineRule="auto"/>
        <w:contextualSpacing/>
        <w:outlineLvl w:val="0"/>
        <w:rPr>
          <w:rFonts w:ascii="宋体" w:hAnsi="宋体"/>
          <w:color w:val="000000"/>
        </w:rPr>
      </w:pPr>
      <w:r>
        <w:rPr>
          <w:rFonts w:hint="eastAsia" w:ascii="宋体" w:hAnsi="宋体"/>
          <w:color w:val="000000"/>
        </w:rPr>
        <w:t>浮动管理费</w:t>
      </w:r>
    </w:p>
    <w:p>
      <w:pPr>
        <w:widowControl/>
        <w:spacing w:line="300" w:lineRule="auto"/>
        <w:ind w:firstLine="420" w:firstLineChars="200"/>
        <w:contextualSpacing/>
        <w:outlineLvl w:val="0"/>
        <w:rPr>
          <w:rFonts w:ascii="宋体" w:hAnsi="宋体"/>
          <w:color w:val="000000"/>
        </w:rPr>
      </w:pPr>
      <w:r>
        <w:rPr>
          <w:rFonts w:hint="eastAsia" w:ascii="宋体" w:hAnsi="宋体"/>
          <w:color w:val="000000"/>
        </w:rPr>
        <w:t>理财管理人根据理财计划投资情况计算浮动管理费，本理财产品投资周期年化收益率超过业绩比较基准上限的部分管理人提取5</w:t>
      </w:r>
      <w:r>
        <w:rPr>
          <w:rFonts w:ascii="宋体" w:hAnsi="宋体"/>
          <w:color w:val="000000"/>
        </w:rPr>
        <w:t>0%作为浮动管理费，每个开放期结束后收取；本理财产品投资周期年化收益率若小于或等于</w:t>
      </w:r>
      <w:r>
        <w:rPr>
          <w:rFonts w:hint="eastAsia" w:ascii="宋体" w:hAnsi="宋体"/>
          <w:color w:val="000000"/>
        </w:rPr>
        <w:t>业绩比较基准上限</w:t>
      </w:r>
      <w:r>
        <w:rPr>
          <w:rFonts w:ascii="宋体" w:hAnsi="宋体"/>
          <w:color w:val="000000"/>
        </w:rPr>
        <w:t>则不收取浮动管理费。具体计算方法如下：</w:t>
      </w:r>
    </w:p>
    <w:p>
      <w:pPr>
        <w:widowControl/>
        <w:spacing w:line="300" w:lineRule="auto"/>
        <w:contextualSpacing/>
        <w:outlineLvl w:val="0"/>
        <w:rPr>
          <w:rFonts w:ascii="宋体" w:hAnsi="宋体"/>
          <w:color w:val="000000"/>
        </w:rPr>
      </w:pPr>
      <w:r>
        <w:rPr>
          <w:rFonts w:ascii="宋体" w:hAnsi="宋体"/>
          <w:color w:val="000000"/>
        </w:rPr>
        <w:t xml:space="preserve">    H＝E*NAV0*(K-R)×</w:t>
      </w:r>
      <w:r>
        <w:rPr>
          <w:rFonts w:hint="eastAsia" w:ascii="宋体" w:hAnsi="宋体"/>
          <w:color w:val="000000"/>
        </w:rPr>
        <w:t>5</w:t>
      </w:r>
      <w:r>
        <w:rPr>
          <w:rFonts w:ascii="宋体" w:hAnsi="宋体"/>
          <w:color w:val="000000"/>
        </w:rPr>
        <w:t>0％×D÷365，其中,K=(NAV1-NAV0+T) ÷NAV0×365÷D</w:t>
      </w:r>
    </w:p>
    <w:p>
      <w:pPr>
        <w:widowControl/>
        <w:spacing w:line="300" w:lineRule="auto"/>
        <w:ind w:firstLine="424" w:firstLineChars="202"/>
        <w:contextualSpacing/>
        <w:outlineLvl w:val="0"/>
        <w:rPr>
          <w:rFonts w:ascii="宋体" w:hAnsi="宋体"/>
          <w:color w:val="000000"/>
        </w:rPr>
      </w:pPr>
      <w:r>
        <w:rPr>
          <w:rFonts w:ascii="宋体" w:hAnsi="宋体"/>
          <w:color w:val="000000"/>
        </w:rPr>
        <w:t>H为当前确认日应收取的浮动管理费</w:t>
      </w:r>
    </w:p>
    <w:p>
      <w:pPr>
        <w:widowControl/>
        <w:spacing w:line="300" w:lineRule="auto"/>
        <w:ind w:firstLine="424" w:firstLineChars="202"/>
        <w:contextualSpacing/>
        <w:outlineLvl w:val="0"/>
        <w:rPr>
          <w:rFonts w:ascii="宋体" w:hAnsi="宋体"/>
          <w:color w:val="000000"/>
        </w:rPr>
      </w:pPr>
      <w:r>
        <w:rPr>
          <w:rFonts w:ascii="宋体" w:hAnsi="宋体"/>
          <w:color w:val="000000"/>
        </w:rPr>
        <w:t>E为本产品上一个确认日的存续份额</w:t>
      </w:r>
    </w:p>
    <w:p>
      <w:pPr>
        <w:widowControl/>
        <w:spacing w:line="300" w:lineRule="auto"/>
        <w:ind w:firstLine="424" w:firstLineChars="202"/>
        <w:contextualSpacing/>
        <w:outlineLvl w:val="0"/>
        <w:rPr>
          <w:rFonts w:ascii="宋体" w:hAnsi="宋体"/>
          <w:color w:val="000000"/>
        </w:rPr>
      </w:pPr>
      <w:r>
        <w:rPr>
          <w:rFonts w:ascii="宋体" w:hAnsi="宋体"/>
          <w:color w:val="000000"/>
        </w:rPr>
        <w:t>NAV0为上一个确认日费后单位净值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NAV1为当前确认日未扣除浮动管理费前的单位净值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R为当前投资周期适用的</w:t>
      </w:r>
      <w:r>
        <w:rPr>
          <w:rFonts w:hint="eastAsia" w:ascii="宋体" w:hAnsi="宋体"/>
          <w:color w:val="000000"/>
        </w:rPr>
        <w:t>业绩比较基准上限</w:t>
      </w:r>
    </w:p>
    <w:p>
      <w:pPr>
        <w:widowControl/>
        <w:spacing w:line="300" w:lineRule="auto"/>
        <w:ind w:firstLine="420" w:firstLineChars="200"/>
        <w:contextualSpacing/>
        <w:outlineLvl w:val="0"/>
        <w:rPr>
          <w:rFonts w:ascii="宋体" w:hAnsi="宋体"/>
          <w:color w:val="000000"/>
        </w:rPr>
      </w:pPr>
      <w:r>
        <w:rPr>
          <w:rFonts w:ascii="宋体" w:hAnsi="宋体"/>
          <w:color w:val="000000"/>
        </w:rPr>
        <w:t>D为上一个确认日（含）至当前确认日（不含）的实际理财天数</w:t>
      </w:r>
    </w:p>
    <w:p>
      <w:pPr>
        <w:widowControl/>
        <w:spacing w:line="300" w:lineRule="auto"/>
        <w:ind w:firstLine="420" w:firstLineChars="200"/>
        <w:contextualSpacing/>
        <w:outlineLvl w:val="0"/>
        <w:rPr>
          <w:rFonts w:ascii="宋体" w:hAnsi="宋体"/>
          <w:color w:val="000000"/>
        </w:rPr>
      </w:pPr>
      <w:r>
        <w:rPr>
          <w:rFonts w:ascii="宋体" w:hAnsi="宋体"/>
          <w:color w:val="000000"/>
        </w:rPr>
        <w:t>T为当前投资周期内每单位份额的实际分红金额的合计（如有）</w:t>
      </w:r>
    </w:p>
    <w:p>
      <w:pPr>
        <w:spacing w:line="520" w:lineRule="exact"/>
        <w:ind w:firstLine="422" w:firstLineChars="200"/>
        <w:rPr>
          <w:rFonts w:ascii="宋体" w:hAnsi="宋体" w:cs="宋体"/>
          <w:b/>
          <w:kern w:val="0"/>
        </w:rPr>
      </w:pPr>
      <w:r>
        <w:rPr>
          <w:rFonts w:hint="eastAsia" w:ascii="宋体" w:hAnsi="宋体" w:cs="宋体"/>
          <w:b/>
          <w:kern w:val="0"/>
        </w:rPr>
        <w:t>管理人保留变更上述收取费率标准的权利，如有变更将提前</w:t>
      </w:r>
      <w:r>
        <w:rPr>
          <w:rFonts w:ascii="宋体" w:hAnsi="宋体" w:cs="宋体"/>
          <w:b/>
          <w:kern w:val="0"/>
        </w:rPr>
        <w:t>1</w:t>
      </w:r>
      <w:r>
        <w:rPr>
          <w:rFonts w:hint="eastAsia" w:ascii="宋体" w:hAnsi="宋体" w:cs="宋体"/>
          <w:b/>
          <w:kern w:val="0"/>
        </w:rPr>
        <w:t>个工作日在管理人或销售机构网站公告。</w:t>
      </w:r>
    </w:p>
    <w:p>
      <w:pPr>
        <w:pStyle w:val="29"/>
        <w:spacing w:line="520" w:lineRule="exact"/>
        <w:ind w:left="420" w:firstLine="0" w:firstLineChars="0"/>
        <w:rPr>
          <w:rFonts w:ascii="宋体" w:cs="Times New Roman"/>
          <w:kern w:val="0"/>
        </w:rPr>
      </w:pPr>
      <w:r>
        <w:rPr>
          <w:rFonts w:hint="eastAsia" w:ascii="宋体" w:hAnsi="宋体" w:cs="宋体"/>
          <w:kern w:val="0"/>
        </w:rPr>
        <w:t>（三）收益示例说明</w:t>
      </w:r>
    </w:p>
    <w:p>
      <w:pPr>
        <w:spacing w:line="520" w:lineRule="exact"/>
        <w:ind w:firstLine="413" w:firstLineChars="196"/>
        <w:rPr>
          <w:rFonts w:ascii="宋体" w:cs="Times New Roman"/>
          <w:b/>
          <w:bCs/>
          <w:kern w:val="0"/>
        </w:rPr>
      </w:pPr>
      <w:r>
        <w:rPr>
          <w:rFonts w:hint="eastAsia" w:ascii="宋体" w:hAnsi="宋体" w:cs="宋体"/>
          <w:b/>
          <w:bCs/>
          <w:kern w:val="0"/>
        </w:rPr>
        <w:t>示例一：扣除托管费、固定管理费和</w:t>
      </w:r>
      <w:r>
        <w:rPr>
          <w:rFonts w:hint="eastAsia" w:ascii="宋体" w:hAnsi="宋体" w:cs="宋体"/>
          <w:b/>
          <w:bCs/>
          <w:kern w:val="0"/>
          <w:lang w:eastAsia="zh-CN"/>
        </w:rPr>
        <w:t>销售服务费</w:t>
      </w:r>
      <w:r>
        <w:rPr>
          <w:rFonts w:hint="eastAsia" w:ascii="宋体" w:hAnsi="宋体" w:cs="宋体"/>
          <w:b/>
          <w:bCs/>
          <w:kern w:val="0"/>
        </w:rPr>
        <w:t>后，投资收益率超越业绩比较基准上限</w:t>
      </w:r>
    </w:p>
    <w:p>
      <w:pPr>
        <w:widowControl/>
        <w:spacing w:line="360" w:lineRule="auto"/>
        <w:ind w:firstLine="420" w:firstLineChars="200"/>
        <w:contextualSpacing/>
        <w:outlineLvl w:val="0"/>
        <w:rPr>
          <w:rFonts w:ascii="宋体" w:hAnsi="宋体"/>
        </w:rPr>
      </w:pPr>
      <w:r>
        <w:rPr>
          <w:rFonts w:hint="eastAsia" w:ascii="宋体" w:hAnsi="宋体"/>
        </w:rPr>
        <w:t>以某投资者投资10万元为例，假设购买时产品净值为1.00元，折算份额为100,000.00份,投资本理财产品362天后，赎回份额100000.00份。假设管理人提取超过业绩基准上限部分的80%作为浮动管理费，产品业绩比较基准上限为5.60%，期间无分红。赎回时扣除增值税、托管费、</w:t>
      </w:r>
      <w:r>
        <w:rPr>
          <w:rFonts w:hint="eastAsia" w:ascii="宋体" w:hAnsi="宋体"/>
          <w:lang w:eastAsia="zh-CN"/>
        </w:rPr>
        <w:t>销售服务费</w:t>
      </w:r>
      <w:r>
        <w:rPr>
          <w:rFonts w:hint="eastAsia" w:ascii="宋体" w:hAnsi="宋体"/>
        </w:rPr>
        <w:t>、固定管理费后，如产品净值为1.0615，此时，(1.0615/1.00-1)×365/362=6.20%&gt;5.60%，即投资收益超越业绩比较基准上限，则投资管理人对超过业绩比较基准上限部分收益收取浮动管理费，浮动管理费为：</w:t>
      </w:r>
    </w:p>
    <w:p>
      <w:pPr>
        <w:widowControl/>
        <w:spacing w:line="360" w:lineRule="auto"/>
        <w:ind w:firstLine="420" w:firstLineChars="200"/>
        <w:contextualSpacing/>
        <w:outlineLvl w:val="0"/>
        <w:rPr>
          <w:rFonts w:ascii="宋体" w:hAnsi="宋体"/>
        </w:rPr>
      </w:pPr>
      <w:r>
        <w:rPr>
          <w:rFonts w:hint="eastAsia" w:ascii="宋体" w:hAnsi="宋体"/>
        </w:rPr>
        <w:t>100,000.00×1.00×(6.20%-5.60%)×80%×362÷365=476.05（元）</w:t>
      </w:r>
    </w:p>
    <w:p>
      <w:pPr>
        <w:widowControl/>
        <w:spacing w:line="360" w:lineRule="auto"/>
        <w:ind w:firstLine="420" w:firstLineChars="200"/>
        <w:contextualSpacing/>
        <w:outlineLvl w:val="0"/>
        <w:rPr>
          <w:rFonts w:ascii="宋体" w:hAnsi="宋体"/>
        </w:rPr>
      </w:pPr>
      <w:r>
        <w:rPr>
          <w:rFonts w:hint="eastAsia" w:ascii="宋体" w:hAnsi="宋体"/>
        </w:rPr>
        <w:t>扣除浮动管理费后，投资者最终收益为：</w:t>
      </w:r>
    </w:p>
    <w:p>
      <w:pPr>
        <w:spacing w:line="520" w:lineRule="exact"/>
        <w:ind w:firstLine="411" w:firstLineChars="196"/>
        <w:rPr>
          <w:rFonts w:ascii="宋体" w:hAnsi="宋体"/>
        </w:rPr>
      </w:pPr>
      <w:r>
        <w:rPr>
          <w:rFonts w:hint="eastAsia" w:ascii="宋体" w:hAnsi="宋体"/>
        </w:rPr>
        <w:t>100,000.00×（1.0615-1.00）-476.05=5,673.95（元），产品赎回时，投资者获得的实际收益相当于达到年化收益率水平为：5,673.95/100,000.00×365/362=5.72%。</w:t>
      </w:r>
    </w:p>
    <w:p>
      <w:pPr>
        <w:spacing w:line="520" w:lineRule="exact"/>
        <w:ind w:firstLine="413" w:firstLineChars="196"/>
        <w:rPr>
          <w:rFonts w:ascii="宋体" w:cs="Times New Roman"/>
          <w:b/>
          <w:bCs/>
          <w:kern w:val="0"/>
        </w:rPr>
      </w:pPr>
      <w:r>
        <w:rPr>
          <w:rFonts w:hint="eastAsia" w:ascii="宋体" w:hAnsi="宋体" w:cs="宋体"/>
          <w:b/>
          <w:bCs/>
          <w:kern w:val="0"/>
        </w:rPr>
        <w:t>示例二：扣除托管费、固定管理费和</w:t>
      </w:r>
      <w:r>
        <w:rPr>
          <w:rFonts w:hint="eastAsia" w:ascii="宋体" w:hAnsi="宋体" w:cs="宋体"/>
          <w:b/>
          <w:bCs/>
          <w:kern w:val="0"/>
          <w:lang w:eastAsia="zh-CN"/>
        </w:rPr>
        <w:t>销售服务费</w:t>
      </w:r>
      <w:r>
        <w:rPr>
          <w:rFonts w:hint="eastAsia" w:ascii="宋体" w:hAnsi="宋体" w:cs="宋体"/>
          <w:b/>
          <w:bCs/>
          <w:kern w:val="0"/>
        </w:rPr>
        <w:t>后，投资收益率未达到业绩比较基准上限</w:t>
      </w:r>
    </w:p>
    <w:p>
      <w:pPr>
        <w:widowControl/>
        <w:spacing w:line="360" w:lineRule="auto"/>
        <w:ind w:firstLine="420" w:firstLineChars="200"/>
        <w:contextualSpacing/>
        <w:outlineLvl w:val="0"/>
        <w:rPr>
          <w:rFonts w:ascii="宋体" w:hAnsi="宋体"/>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万元为例，购买时产品净值为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w:t>
      </w:r>
      <w:r>
        <w:rPr>
          <w:rFonts w:ascii="宋体" w:cs="宋体"/>
          <w:kern w:val="0"/>
        </w:rPr>
        <w:t>,</w:t>
      </w:r>
      <w:r>
        <w:rPr>
          <w:rFonts w:hint="eastAsia" w:ascii="宋体" w:hAnsi="宋体" w:cs="宋体"/>
          <w:kern w:val="0"/>
        </w:rPr>
        <w:t>投资本理财产品</w:t>
      </w:r>
      <w:r>
        <w:rPr>
          <w:rFonts w:ascii="宋体" w:hAnsi="宋体" w:cs="宋体"/>
          <w:kern w:val="0"/>
        </w:rPr>
        <w:t xml:space="preserve"> 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管理人提取超过业绩基准上限部分的80%作为浮动管理费，</w:t>
      </w:r>
      <w:r>
        <w:rPr>
          <w:rFonts w:hint="eastAsia" w:ascii="宋体" w:hAnsi="宋体" w:cs="宋体"/>
          <w:kern w:val="0"/>
        </w:rPr>
        <w:t>产品业绩比较基准上限为5.60</w:t>
      </w:r>
      <w:r>
        <w:rPr>
          <w:rFonts w:ascii="宋体" w:hAnsi="宋体" w:cs="宋体"/>
          <w:kern w:val="0"/>
        </w:rPr>
        <w:t xml:space="preserve">% </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w:t>
      </w:r>
      <w:r>
        <w:rPr>
          <w:rFonts w:hint="eastAsia" w:ascii="宋体" w:hAnsi="宋体" w:cs="宋体"/>
          <w:kern w:val="0"/>
          <w:lang w:eastAsia="zh-CN"/>
        </w:rPr>
        <w:t>销售服务费</w:t>
      </w:r>
      <w:r>
        <w:rPr>
          <w:rFonts w:hint="eastAsia" w:ascii="宋体" w:hAnsi="宋体" w:cs="宋体"/>
          <w:kern w:val="0"/>
        </w:rPr>
        <w:t>、固定管理费等各类税费后，</w:t>
      </w:r>
      <w:r>
        <w:rPr>
          <w:rFonts w:hint="eastAsia" w:ascii="宋体" w:hAnsi="宋体"/>
        </w:rPr>
        <w:t>如产品净值为1.0496，此时，(1.0496/1.00-1)×365/362=5.00%&lt;5.60%，即投资收益未达到业绩比较基准上限，则投资管理人不收取浮动管理费，</w:t>
      </w:r>
      <w:r>
        <w:rPr>
          <w:rFonts w:hint="eastAsia" w:ascii="宋体" w:hAnsi="宋体" w:cs="宋体"/>
          <w:kern w:val="0"/>
        </w:rPr>
        <w:t>投资者</w:t>
      </w:r>
      <w:r>
        <w:rPr>
          <w:rFonts w:hint="eastAsia" w:ascii="宋体" w:hAnsi="宋体"/>
        </w:rPr>
        <w:t>最终收益为：100,000.00×(1.0496-1.00）=4,960.00（元）。</w:t>
      </w:r>
    </w:p>
    <w:p>
      <w:pPr>
        <w:spacing w:line="520" w:lineRule="exact"/>
        <w:ind w:firstLine="422" w:firstLineChars="200"/>
        <w:rPr>
          <w:rFonts w:ascii="宋体" w:cs="Times New Roman"/>
          <w:b/>
          <w:bCs/>
          <w:kern w:val="0"/>
        </w:rPr>
      </w:pPr>
      <w:r>
        <w:rPr>
          <w:rFonts w:hint="eastAsia" w:ascii="宋体" w:hAnsi="宋体" w:cs="宋体"/>
          <w:b/>
          <w:bCs/>
          <w:kern w:val="0"/>
        </w:rPr>
        <w:t>示例三：扣除托管费、固定管理费和</w:t>
      </w:r>
      <w:r>
        <w:rPr>
          <w:rFonts w:hint="eastAsia" w:ascii="宋体" w:hAnsi="宋体" w:cs="宋体"/>
          <w:b/>
          <w:bCs/>
          <w:kern w:val="0"/>
          <w:lang w:eastAsia="zh-CN"/>
        </w:rPr>
        <w:t>销售服务费</w:t>
      </w:r>
      <w:r>
        <w:rPr>
          <w:rFonts w:hint="eastAsia" w:ascii="宋体" w:hAnsi="宋体" w:cs="宋体"/>
          <w:b/>
          <w:bCs/>
          <w:kern w:val="0"/>
        </w:rPr>
        <w:t>后，投资发生亏损</w:t>
      </w:r>
    </w:p>
    <w:p>
      <w:pPr>
        <w:spacing w:line="520" w:lineRule="exact"/>
        <w:ind w:firstLine="420" w:firstLineChars="200"/>
        <w:rPr>
          <w:rFonts w:ascii="宋体" w:hAnsi="宋体" w:cs="宋体"/>
          <w:kern w:val="0"/>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万元为例，购买时产品净值为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份，投资本理财产品</w:t>
      </w:r>
      <w:r>
        <w:rPr>
          <w:rFonts w:ascii="宋体" w:hAnsi="宋体" w:cs="宋体"/>
          <w:kern w:val="0"/>
        </w:rPr>
        <w:t>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管理人提取超过业绩基准上限部分的80%作为浮动管理费，</w:t>
      </w:r>
      <w:r>
        <w:rPr>
          <w:rFonts w:hint="eastAsia" w:ascii="宋体" w:hAnsi="宋体" w:cs="宋体"/>
          <w:kern w:val="0"/>
        </w:rPr>
        <w:t>产品业绩比较基准上限为5.60</w:t>
      </w:r>
      <w:r>
        <w:rPr>
          <w:rFonts w:ascii="宋体" w:hAnsi="宋体" w:cs="宋体"/>
          <w:kern w:val="0"/>
        </w:rPr>
        <w:t>%</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w:t>
      </w:r>
      <w:r>
        <w:rPr>
          <w:rFonts w:hint="eastAsia" w:ascii="宋体" w:hAnsi="宋体" w:cs="宋体"/>
          <w:kern w:val="0"/>
          <w:lang w:eastAsia="zh-CN"/>
        </w:rPr>
        <w:t>销售服务费</w:t>
      </w:r>
      <w:r>
        <w:rPr>
          <w:rFonts w:hint="eastAsia" w:ascii="宋体" w:hAnsi="宋体" w:cs="宋体"/>
          <w:kern w:val="0"/>
        </w:rPr>
        <w:t>、固定管理费等各类税费后，如产品净值为</w:t>
      </w:r>
      <w:r>
        <w:rPr>
          <w:rFonts w:ascii="宋体" w:hAnsi="宋体" w:cs="宋体"/>
          <w:kern w:val="0"/>
        </w:rPr>
        <w:t>0.9975</w:t>
      </w:r>
      <w:r>
        <w:rPr>
          <w:rFonts w:hint="eastAsia" w:ascii="宋体" w:hAnsi="宋体" w:cs="宋体"/>
          <w:kern w:val="0"/>
        </w:rPr>
        <w:t>，</w:t>
      </w:r>
      <w:r>
        <w:rPr>
          <w:rFonts w:hint="eastAsia" w:ascii="宋体" w:hAnsi="宋体"/>
        </w:rPr>
        <w:t>则投资管理人不收取浮动管理费，</w:t>
      </w:r>
      <w:r>
        <w:rPr>
          <w:rFonts w:hint="eastAsia" w:ascii="宋体" w:hAnsi="宋体" w:cs="宋体"/>
          <w:kern w:val="0"/>
        </w:rPr>
        <w:t>投资者最终收益为：</w:t>
      </w:r>
      <w:r>
        <w:rPr>
          <w:rFonts w:ascii="宋体" w:hAnsi="宋体" w:cs="宋体"/>
          <w:kern w:val="0"/>
        </w:rPr>
        <w:t>0.9975</w:t>
      </w:r>
      <w:r>
        <w:rPr>
          <w:rFonts w:hint="eastAsia" w:ascii="宋体" w:hAnsi="宋体" w:cs="宋体"/>
          <w:kern w:val="0"/>
        </w:rPr>
        <w:t>×</w:t>
      </w:r>
      <w:r>
        <w:rPr>
          <w:rFonts w:ascii="宋体" w:hAnsi="宋体" w:cs="宋体"/>
          <w:kern w:val="0"/>
        </w:rPr>
        <w:t>100000.00-1.00</w:t>
      </w:r>
      <w:r>
        <w:rPr>
          <w:rFonts w:hint="eastAsia" w:ascii="宋体" w:hAnsi="宋体" w:cs="宋体"/>
          <w:kern w:val="0"/>
        </w:rPr>
        <w:t>×</w:t>
      </w:r>
      <w:r>
        <w:rPr>
          <w:rFonts w:ascii="宋体" w:hAnsi="宋体" w:cs="宋体"/>
          <w:kern w:val="0"/>
        </w:rPr>
        <w:t>100000.00=-250.00</w:t>
      </w:r>
      <w:r>
        <w:rPr>
          <w:rFonts w:hint="eastAsia" w:ascii="宋体" w:hAnsi="宋体" w:cs="宋体"/>
          <w:kern w:val="0"/>
        </w:rPr>
        <w:t>（元）。</w:t>
      </w:r>
    </w:p>
    <w:p>
      <w:pPr>
        <w:spacing w:line="520" w:lineRule="exact"/>
        <w:ind w:firstLine="422" w:firstLineChars="200"/>
        <w:rPr>
          <w:rFonts w:ascii="宋体" w:cs="Times New Roman"/>
          <w:b/>
        </w:rPr>
      </w:pPr>
      <w:r>
        <w:rPr>
          <w:rFonts w:hint="eastAsia" w:ascii="宋体" w:hAnsi="宋体" w:cs="宋体"/>
          <w:b/>
        </w:rPr>
        <w:t>（四）最不利情况分析</w:t>
      </w:r>
    </w:p>
    <w:p>
      <w:pPr>
        <w:spacing w:line="520" w:lineRule="exact"/>
        <w:ind w:firstLine="422" w:firstLineChars="200"/>
        <w:rPr>
          <w:rFonts w:ascii="宋体" w:hAnsi="宋体" w:cs="宋体"/>
          <w:b/>
        </w:rPr>
      </w:pPr>
      <w:r>
        <w:rPr>
          <w:rFonts w:hint="eastAsia" w:ascii="宋体" w:hAnsi="宋体" w:cs="宋体"/>
          <w:b/>
        </w:rPr>
        <w:t>本产品为固定收益类净值型理财产品，由于市场波动导致投资品贬值或者投资品发生信用风险导致相应损失，使产品赎回或到期时投资收益达不到业绩基准，甚至不足以支付理财产品本金，届时理财资金将按照产品实际净值向投资者进行分配。但在此种情形下，理财产品保留向发生信用风险的投资品发行主体进行追偿的法定权利，若这些权利在未来得以实现，在扣除相关费用后，将继续向投资者进行清偿。</w:t>
      </w:r>
    </w:p>
    <w:p>
      <w:pPr>
        <w:pStyle w:val="8"/>
        <w:spacing w:before="0" w:after="0" w:line="520" w:lineRule="exact"/>
        <w:jc w:val="both"/>
        <w:rPr>
          <w:sz w:val="28"/>
          <w:szCs w:val="28"/>
        </w:rPr>
      </w:pPr>
      <w:r>
        <w:rPr>
          <w:rFonts w:hint="eastAsia" w:cs="宋体"/>
          <w:sz w:val="28"/>
          <w:szCs w:val="28"/>
        </w:rPr>
        <w:t>八、产品申购、赎回及终止</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（一）受理时间</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本产品在每个开放期的工作时间都可以进行申购和赎回，申购和赎回申请将在本次开放期后的第一个确认日确认。</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工作时间为每个工作日上午9:00至下午17:00。</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在理财产品存续期内，管理人有权根据市场情况变化暂停本理财产品的申购、赎回，暂停申购、赎回的公告将通过管理人或销售机构网站发布。</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（二）份额要求</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本理财产品</w:t>
      </w:r>
      <w:r>
        <w:rPr>
          <w:rFonts w:hint="eastAsia" w:ascii="宋体" w:hAnsi="Wingdings" w:cs="宋体"/>
          <w:color w:val="000000"/>
          <w:kern w:val="0"/>
          <w:lang w:val="en-US" w:eastAsia="zh-CN"/>
        </w:rPr>
        <w:t>A份额</w:t>
      </w:r>
      <w:r>
        <w:rPr>
          <w:rFonts w:hint="eastAsia" w:ascii="宋体" w:hAnsi="Wingdings" w:cs="宋体"/>
          <w:color w:val="000000"/>
          <w:kern w:val="0"/>
        </w:rPr>
        <w:t>首次购买的起点金额为1元，追加购买金额必须是1元或1元的整数倍；存续份额不得低于1份；单户持有份额不得超过1亿份</w:t>
      </w:r>
      <w:r>
        <w:rPr>
          <w:rFonts w:hint="eastAsia" w:ascii="宋体" w:hAnsi="Wingdings" w:cs="宋体"/>
          <w:color w:val="000000"/>
          <w:kern w:val="0"/>
          <w:lang w:eastAsia="zh-CN"/>
        </w:rPr>
        <w:t>；</w:t>
      </w:r>
      <w:r>
        <w:rPr>
          <w:rFonts w:hint="eastAsia" w:ascii="宋体" w:hAnsi="Wingdings" w:cs="宋体"/>
          <w:color w:val="000000"/>
          <w:kern w:val="0"/>
          <w:lang w:val="en-US" w:eastAsia="zh-CN"/>
        </w:rPr>
        <w:t>B份额</w:t>
      </w:r>
      <w:r>
        <w:rPr>
          <w:rFonts w:hint="eastAsia" w:ascii="宋体" w:hAnsi="Wingdings" w:cs="宋体"/>
          <w:color w:val="000000"/>
          <w:kern w:val="0"/>
        </w:rPr>
        <w:t>首次购买的起点金额为</w:t>
      </w:r>
      <w:r>
        <w:rPr>
          <w:rFonts w:hint="eastAsia" w:ascii="宋体" w:hAnsi="Wingdings" w:cs="宋体"/>
          <w:color w:val="000000"/>
          <w:kern w:val="0"/>
          <w:lang w:val="en-US" w:eastAsia="zh-CN"/>
        </w:rPr>
        <w:t>20万</w:t>
      </w:r>
      <w:r>
        <w:rPr>
          <w:rFonts w:hint="eastAsia" w:ascii="宋体" w:hAnsi="Wingdings" w:cs="宋体"/>
          <w:color w:val="000000"/>
          <w:kern w:val="0"/>
        </w:rPr>
        <w:t>元，追加购买金额必须是1元或1元的整数倍；存续份额不得低于1份；单户持有份额不得超过1亿份</w:t>
      </w:r>
      <w:r>
        <w:rPr>
          <w:rFonts w:hint="eastAsia" w:ascii="宋体" w:hAnsi="Wingdings" w:cs="宋体"/>
          <w:color w:val="000000"/>
          <w:kern w:val="0"/>
          <w:lang w:eastAsia="zh-CN"/>
        </w:rPr>
        <w:t>。</w:t>
      </w:r>
      <w:r>
        <w:rPr>
          <w:rFonts w:hint="eastAsia" w:ascii="宋体" w:hAnsi="Wingdings" w:cs="宋体"/>
          <w:b/>
          <w:color w:val="000000"/>
          <w:kern w:val="0"/>
        </w:rPr>
        <w:t>若本理财产品净赎回份额超过本理财产品上一交易日日终产品总份额10%时，管理人有权拒绝赎回申请。</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投资者可选择全额或部分赎回，部分赎回后投资者持有本理财产品的实时余额不得低于1份。</w:t>
      </w:r>
    </w:p>
    <w:p>
      <w:pPr>
        <w:pStyle w:val="29"/>
        <w:numPr>
          <w:ilvl w:val="0"/>
          <w:numId w:val="9"/>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管理人有权拒绝投资者超过持有份额上限部分的认购或申购申请。</w:t>
      </w:r>
    </w:p>
    <w:p>
      <w:pPr>
        <w:pStyle w:val="29"/>
        <w:numPr>
          <w:ilvl w:val="0"/>
          <w:numId w:val="9"/>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管理人有权拒绝超过本理财产品规模上限部分的申购申请。</w:t>
      </w:r>
    </w:p>
    <w:p>
      <w:pPr>
        <w:spacing w:line="520" w:lineRule="exact"/>
        <w:ind w:firstLine="424" w:firstLineChars="202"/>
        <w:rPr>
          <w:rFonts w:hint="eastAsia" w:ascii="宋体" w:hAnsi="Wingdings" w:cs="Times New Roman"/>
          <w:color w:val="000000"/>
          <w:kern w:val="0"/>
        </w:rPr>
      </w:pPr>
      <w:bookmarkStart w:id="2" w:name="_Hlk37709561"/>
      <w:r>
        <w:rPr>
          <w:rFonts w:hint="eastAsia" w:ascii="宋体" w:hAnsi="Wingdings" w:cs="宋体"/>
          <w:color w:val="000000"/>
          <w:kern w:val="0"/>
        </w:rPr>
        <w:t>（三）</w:t>
      </w:r>
      <w:bookmarkEnd w:id="2"/>
      <w:r>
        <w:rPr>
          <w:rFonts w:hint="eastAsia" w:ascii="宋体" w:hAnsi="Wingdings" w:cs="宋体"/>
          <w:color w:val="000000"/>
          <w:kern w:val="0"/>
        </w:rPr>
        <w:t>交易确认和到账时间</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在本产品的首次认购期和每一次开放期内，投资者提出认购或申购申请将在成立日或本次开放期后的第一个确认日进行确认。</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投资者在下一个确认日前一日17:00之前提出的赎回申请，将在下一个确认日确认，赎回资金将在确认日后3个工作日内到账。</w:t>
      </w:r>
    </w:p>
    <w:p>
      <w:pPr>
        <w:pStyle w:val="29"/>
        <w:spacing w:line="520" w:lineRule="exact"/>
        <w:ind w:firstLineChars="0"/>
        <w:rPr>
          <w:rFonts w:hint="eastAsia" w:ascii="宋体" w:hAnsi="Wingdings" w:cs="宋体"/>
          <w:color w:val="000000"/>
          <w:kern w:val="0"/>
        </w:rPr>
      </w:pPr>
      <w:r>
        <w:rPr>
          <w:rFonts w:hint="eastAsia" w:ascii="宋体" w:hAnsi="Wingdings" w:cs="宋体"/>
          <w:color w:val="000000"/>
          <w:kern w:val="0"/>
        </w:rPr>
        <w:t>(四) 巨额赎回及处理：</w:t>
      </w:r>
    </w:p>
    <w:p>
      <w:pPr>
        <w:pStyle w:val="29"/>
        <w:numPr>
          <w:ilvl w:val="0"/>
          <w:numId w:val="11"/>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w:t>
      </w:r>
      <w:r>
        <w:rPr>
          <w:rFonts w:hint="eastAsia" w:ascii="宋体" w:hAnsi="Wingdings" w:cs="Times New Roman"/>
          <w:color w:val="000000"/>
          <w:kern w:val="0"/>
        </w:rPr>
        <w:t>赎</w:t>
      </w:r>
      <w:r>
        <w:rPr>
          <w:rFonts w:hint="eastAsia" w:ascii="宋体" w:hAnsi="Wingdings" w:cs="宋体"/>
          <w:color w:val="000000"/>
          <w:kern w:val="0"/>
        </w:rPr>
        <w:t>回认定：确认日理财计划净赎回申请份额（赎回申请总份额扣除申购申请总份额后的余额）超过上一确认日日终总份额的10%时，即构成巨额赎回。</w:t>
      </w:r>
    </w:p>
    <w:p>
      <w:pPr>
        <w:pStyle w:val="29"/>
        <w:numPr>
          <w:ilvl w:val="0"/>
          <w:numId w:val="11"/>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巨额赎回处理：当出现巨额赎回时，管理人可以根据资产组合状况决定采取全额赎回或拒绝超出部分的赎回申请。</w:t>
      </w:r>
    </w:p>
    <w:p>
      <w:pPr>
        <w:pStyle w:val="29"/>
        <w:numPr>
          <w:ilvl w:val="0"/>
          <w:numId w:val="11"/>
        </w:numPr>
        <w:spacing w:line="520" w:lineRule="exact"/>
        <w:ind w:firstLineChars="0"/>
        <w:rPr>
          <w:rFonts w:hint="eastAsia" w:ascii="宋体" w:hAnsi="Wingdings" w:cs="宋体"/>
          <w:color w:val="000000"/>
          <w:kern w:val="0"/>
        </w:rPr>
      </w:pPr>
      <w:r>
        <w:rPr>
          <w:rFonts w:hint="eastAsia" w:ascii="宋体" w:hAnsi="Wingdings" w:cs="宋体"/>
          <w:color w:val="000000"/>
          <w:kern w:val="0"/>
        </w:rPr>
        <w:t>全额赎回：当管理人认为全额兑付投资者的赎回申请将不会对本理财计划净值造成较大波动或给本理财计划造成重大损失时，按正常赎回程序执行。</w:t>
      </w:r>
    </w:p>
    <w:p>
      <w:pPr>
        <w:pStyle w:val="29"/>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拒绝超出部分的赎回申请：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开放期重新进行赎回申请。</w:t>
      </w:r>
    </w:p>
    <w:p>
      <w:pPr>
        <w:pStyle w:val="29"/>
        <w:numPr>
          <w:ilvl w:val="0"/>
          <w:numId w:val="11"/>
        </w:numPr>
        <w:spacing w:line="520" w:lineRule="exact"/>
        <w:ind w:firstLineChars="0"/>
        <w:rPr>
          <w:rFonts w:hint="eastAsia" w:ascii="宋体" w:hAnsi="Wingdings" w:cs="Times New Roman"/>
          <w:b/>
          <w:bCs/>
          <w:color w:val="000000"/>
          <w:kern w:val="0"/>
        </w:rPr>
      </w:pPr>
      <w:r>
        <w:rPr>
          <w:rFonts w:hint="eastAsia" w:ascii="宋体" w:hAnsi="Wingdings" w:cs="宋体"/>
          <w:b/>
          <w:bCs/>
          <w:color w:val="000000"/>
          <w:kern w:val="0"/>
        </w:rPr>
        <w:t>发生下述情形之一的，管理人有权暂停接受投资者的赎回申请：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（1）因不可抗力导致管理人不能支付赎回款项；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（2）产品连续两个确认日发生巨额赎回，管理人可暂停接受赎回申请；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（3）法律、法规规定或监管部门认定的其它情形。</w:t>
      </w:r>
    </w:p>
    <w:p>
      <w:pPr>
        <w:pStyle w:val="29"/>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出现暂停接受投资者的赎回申请情况，对于已经确认的赎回申请可以延缓支付赎回款项，但不得超过正常支付时间5个工作日，并应当进行信息披露；在暂停赎回的情况消除时，管理人应及时恢复赎回业务的办理。暂停期间结束，产品重新开放时，管理人应当披露最新的产品单位净值。</w:t>
      </w:r>
    </w:p>
    <w:p>
      <w:pPr>
        <w:pStyle w:val="29"/>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在理财产品存续期内，管理人有权根据市场情况调整巨额赎回金额比例，并及时通过管理人或者销售机构网站进行公告。</w:t>
      </w:r>
    </w:p>
    <w:p>
      <w:pPr>
        <w:pStyle w:val="34"/>
        <w:numPr>
          <w:ilvl w:val="0"/>
          <w:numId w:val="12"/>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兑付及税收</w:t>
      </w:r>
    </w:p>
    <w:p>
      <w:pPr>
        <w:pStyle w:val="29"/>
        <w:numPr>
          <w:ilvl w:val="0"/>
          <w:numId w:val="13"/>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终止权的行使：本理财产品发生全部终止时，管理人可以通过公告通知投资者全部兑付本理财产品，并按约定将可兑付款项支付给投资者。</w:t>
      </w:r>
    </w:p>
    <w:p>
      <w:pPr>
        <w:pStyle w:val="29"/>
        <w:numPr>
          <w:ilvl w:val="0"/>
          <w:numId w:val="14"/>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资金清算：</w:t>
      </w:r>
      <w:r>
        <w:rPr>
          <w:rFonts w:hint="eastAsia" w:ascii="宋体" w:hAnsi="Wingdings" w:cs="宋体"/>
          <w:b/>
          <w:color w:val="000000"/>
          <w:kern w:val="0"/>
        </w:rPr>
        <w:t>理财产品确认日和终止日（实际到期日）后3个工作日为资金清算期，该期间不计付利息及理财收益。</w:t>
      </w:r>
    </w:p>
    <w:p>
      <w:pPr>
        <w:pStyle w:val="29"/>
        <w:numPr>
          <w:ilvl w:val="0"/>
          <w:numId w:val="14"/>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税费规定：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支付给投资者的理财收益的应纳税款由投资者自行申报及缴纳。</w:t>
      </w:r>
    </w:p>
    <w:p>
      <w:pPr>
        <w:pStyle w:val="34"/>
        <w:numPr>
          <w:ilvl w:val="0"/>
          <w:numId w:val="12"/>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产品的终止</w:t>
      </w:r>
    </w:p>
    <w:p>
      <w:pPr>
        <w:pStyle w:val="29"/>
        <w:numPr>
          <w:ilvl w:val="0"/>
          <w:numId w:val="15"/>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终止事项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发生以下事项时，管理人可对本理财产品行使全部终止权：</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（1）若本理财产品当日规模持续10个工作日（含）低于2000万元时，管理人有权终止本理财产品；</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（2）如因本理财产品资产运作模式等与相关政策、法律法规、规章的规定或者监管机构的要求等存在冲突导致理财产品必须提前终止的；</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（3）国家有关法律、法规、规章、政策的改变、紧急措施的出台、理财市场环境发生重大变化等导致理财产品必须提前终止的；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（4）因地震、火灾、战争、罢工等不可抗力因素导致本理财产品必须提前终止的；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（5）管理人认为应该提前终止本理财产品的其他情况。</w:t>
      </w:r>
    </w:p>
    <w:p>
      <w:pPr>
        <w:pStyle w:val="29"/>
        <w:spacing w:line="520" w:lineRule="exact"/>
        <w:ind w:firstLineChars="0"/>
        <w:rPr>
          <w:rFonts w:hint="eastAsia" w:ascii="宋体" w:hAnsi="Wingdings" w:cs="Times New Roman"/>
          <w:color w:val="000000"/>
          <w:kern w:val="0"/>
        </w:rPr>
      </w:pPr>
      <w:r>
        <w:rPr>
          <w:rFonts w:hint="eastAsia" w:ascii="宋体" w:hAnsi="Wingdings" w:cs="宋体"/>
          <w:color w:val="000000"/>
          <w:kern w:val="0"/>
        </w:rPr>
        <w:t>2． 终止的信息公告</w:t>
      </w:r>
    </w:p>
    <w:p>
      <w:pPr>
        <w:pStyle w:val="29"/>
        <w:spacing w:line="520" w:lineRule="exact"/>
        <w:ind w:left="844" w:firstLine="0" w:firstLineChars="0"/>
        <w:rPr>
          <w:rFonts w:hint="eastAsia" w:ascii="宋体" w:hAnsi="Wingdings" w:cs="宋体"/>
          <w:b/>
          <w:color w:val="000000"/>
          <w:kern w:val="0"/>
        </w:rPr>
      </w:pPr>
      <w:r>
        <w:rPr>
          <w:rFonts w:hint="eastAsia" w:ascii="宋体" w:hAnsi="Wingdings" w:cs="宋体"/>
          <w:b/>
          <w:color w:val="000000"/>
          <w:kern w:val="0"/>
        </w:rPr>
        <w:t>如遇本理财产品终止事项，管理人将提前1个工作日通过管理人或销售机构网站及时公告相关信息，敬请予以关注。</w:t>
      </w:r>
    </w:p>
    <w:p>
      <w:pPr>
        <w:pStyle w:val="8"/>
        <w:spacing w:before="0" w:after="0" w:line="520" w:lineRule="exact"/>
        <w:ind w:left="318" w:hanging="318"/>
        <w:jc w:val="both"/>
        <w:rPr>
          <w:rFonts w:cs="宋体"/>
          <w:sz w:val="28"/>
          <w:szCs w:val="28"/>
        </w:rPr>
      </w:pPr>
      <w:r>
        <w:rPr>
          <w:rFonts w:hint="eastAsia" w:cs="宋体"/>
          <w:sz w:val="28"/>
          <w:szCs w:val="28"/>
        </w:rPr>
        <w:t>九、信息披露</w:t>
      </w:r>
    </w:p>
    <w:p>
      <w:pPr>
        <w:pStyle w:val="30"/>
        <w:numPr>
          <w:ilvl w:val="0"/>
          <w:numId w:val="16"/>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本理财计划信息披露通过管理人或销售机构网站公告或其他形式进行披露。</w:t>
      </w:r>
    </w:p>
    <w:p>
      <w:pPr>
        <w:pStyle w:val="30"/>
        <w:numPr>
          <w:ilvl w:val="0"/>
          <w:numId w:val="16"/>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管理人会在理财计划成立后5日内披露发行公告，本产品成立后</w:t>
      </w:r>
      <w:r>
        <w:rPr>
          <w:rFonts w:hint="eastAsia" w:ascii="宋体" w:cs="宋体"/>
          <w:sz w:val="21"/>
          <w:szCs w:val="21"/>
        </w:rPr>
        <w:t>，管理人会在每个确认日后三个工作日内披露本理财产品净值（扣除本产品各项税费后）。</w:t>
      </w:r>
    </w:p>
    <w:p>
      <w:pPr>
        <w:pStyle w:val="30"/>
        <w:numPr>
          <w:ilvl w:val="0"/>
          <w:numId w:val="16"/>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在每季度结束之日起15个工作日、上半年结束之日起60个工作日内、每年结束之日起90个工作日内编制完成理财计划的季度、半年和年度报告等运行报告。向投资者披露当期存续规模、收益表现，并分别列示本理财计划投资的资产种类、投资比例、投资组合的流动性风险分析等资产情况，并将运行报告正文通过管理人或销售机构网站披露。理财产品成立不足90个工作日或者存续期不超过90个工作日的，不编制理财产品当期的季度、半年和年度报告。</w:t>
      </w:r>
    </w:p>
    <w:p>
      <w:pPr>
        <w:pStyle w:val="30"/>
        <w:numPr>
          <w:ilvl w:val="0"/>
          <w:numId w:val="16"/>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管理人会在理财计划发生投资资产存在重大风险、理财计划要素发生较大改变、监管政策发生变化等通过管理人判断会影响本理财计划的收益或运作情况时，及时发布不定期或临时公告。</w:t>
      </w:r>
    </w:p>
    <w:p>
      <w:pPr>
        <w:pStyle w:val="30"/>
        <w:numPr>
          <w:ilvl w:val="0"/>
          <w:numId w:val="16"/>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管理人如在特定情况下终止本产品，将于实际终止日前至少1个工作日，在管理人或销售机构网站发布相关信息公告。在理财产品终止日后5日内披露到期公告。</w:t>
      </w:r>
    </w:p>
    <w:p>
      <w:pPr>
        <w:pStyle w:val="30"/>
        <w:numPr>
          <w:ilvl w:val="0"/>
          <w:numId w:val="16"/>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管理人将在理财期内在管理人或销售机构网站对本产品说明书予以公示，若投资者持有的销售文件与网站公示的产品说明书不一致，应以网站公示为准。</w:t>
      </w:r>
    </w:p>
    <w:p>
      <w:pPr>
        <w:pStyle w:val="30"/>
        <w:numPr>
          <w:ilvl w:val="0"/>
          <w:numId w:val="16"/>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产品说明书在法律许可的范围内由管理人负责解释。若投资者对本理财说明书的内容有任何疑问或异议，请致电投资者服务热线咨询、投诉。投资者在投资前，请仔细阅读本产品说明书，并作出独立的投资决策。</w:t>
      </w:r>
    </w:p>
    <w:p>
      <w:pPr>
        <w:pStyle w:val="8"/>
        <w:spacing w:before="0" w:after="0" w:line="520" w:lineRule="exact"/>
        <w:jc w:val="both"/>
        <w:rPr>
          <w:sz w:val="28"/>
          <w:szCs w:val="28"/>
        </w:rPr>
      </w:pPr>
      <w:r>
        <w:rPr>
          <w:rFonts w:hint="eastAsia" w:cs="宋体"/>
          <w:sz w:val="28"/>
          <w:szCs w:val="28"/>
        </w:rPr>
        <w:t>十、风险揭示及管控措施</w:t>
      </w:r>
    </w:p>
    <w:p>
      <w:pPr>
        <w:spacing w:line="520" w:lineRule="exact"/>
        <w:ind w:firstLine="426" w:firstLineChars="202"/>
        <w:rPr>
          <w:rFonts w:hint="eastAsia" w:ascii="宋体" w:hAnsi="Wingdings" w:cs="Times New Roman"/>
          <w:b/>
          <w:bCs/>
          <w:color w:val="000000"/>
          <w:kern w:val="0"/>
        </w:rPr>
      </w:pPr>
      <w:r>
        <w:rPr>
          <w:rFonts w:hint="eastAsia" w:ascii="宋体" w:hAnsi="Wingdings" w:cs="宋体"/>
          <w:b/>
          <w:bCs/>
          <w:color w:val="000000"/>
          <w:kern w:val="0"/>
        </w:rPr>
        <w:t>本理财计划为非保本净值型产品，管理人不对本理财计划承诺保本或保证收益，您应充分认识投资风险，谨慎投资：</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一）信用风险：本理财产品为非保本净值型产品，不保证本金安全及收益兑付。本产品的本金收回及收益实现情况根据所投资资产组合的运作情况而定。资产组合运作容易受到宏观经济形势、行业政策变化、所投资标的资产相关债务人信用状况变动、相关债务人违约等方面的影响，由此产生本金损失和收益不确定性的风险，该等风险由投资者自行承担。在最不利的情况下，投资者有可能损失全部本金。</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1）本理财产品管理人尽职履行资产投资及风险管理等相关义务，建立健全理财资产投资的信用风险管理制度，配备信用风险管理人员，实施事前、事中、事后的信用风险管理；（2）对每一项拟投资资产进行事前的信用风险评估，设立授信额度，并限制所投资资产规模在授信额度内；（3）对宏观经济形势、相关政策、所投资资产的相关债务人信用状况密切跟踪、监测和分析，及时采取措施防范和化解信用风险，并做好发生信用风险时的应对准备；（4）合理配置资产比例，科学设置资产组合结构，尽可能降低整个资产组合的信用风险。</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 xml:space="preserve">（二）市场风险：投资者面临两类市场风险，一是本理财产品项下投资组合在市场利率变动的情况下会引起市场价值的变动，在出清资产时则发生实际收益或损失，从而对投资者本金和理财收益带来不确定性；二是在产品存续期间如遇市场利率提高，其他资产收益率上升，使得购买本理财产品的投资者的机会成本增加，从而带来一定的机会损失。 </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对第一类市场风险，本理财产品管理人尽职履行资产投资及风险管理等相关义务，对相关资产实施逐日盯市，在充分研究分析宏观经济走势、货币政策等情况的基础上合理预判市场价格走势，最大限度降低市场风险；对第二类风险，在保证资产组合安全性和流动性的基础上，通过合理的资产运作，提高资产组合收益水平，为投资者带来良好回报，降低投资者的机会成本。</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（三）管理风险：由于管理人或产品投资组合项下相关的管理方受经验、技能等因素的限制，可能会影响对本理财产品或投资资产的管理，导致本产品项下的理财资金遭受损失。</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管控措施：进一步完善管理人理财产品管理的内部流程、架构、制度，加强理财业务的风险管理，提高理财资产运作效率；审慎选择合作机构，建立和健全合作机构的准入机制。</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（四）流动性风险：本理财产品存续期间，投资者只能在本理财产品说明书规定的时间内办理申购与赎回。若遇大额赎回时，管理人有权拒绝赎回申请，可能影响投资者的资金安排，带来流动性风险。</w:t>
      </w:r>
    </w:p>
    <w:p>
      <w:pPr>
        <w:spacing w:line="520" w:lineRule="exact"/>
        <w:ind w:firstLine="422" w:firstLineChars="200"/>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管理人会做好流动性管理预案的各项工作，包括但不限于：在理财产品配置资产中对高流动性资产保持较高的比例；通过合理的产品投资期限安排，尽可能实现资产到期的金额和数量在每个工作日保持平滑分布，并针对月末、季末、年末等关键时点可能出现的大额赎回情况，增加在这些时点的到期资产比例；在产品出现净赎回的情况下，首先采用债券质押式正回购向银行间市场成员融入资金的投资策略，保证当日理财的流动性缺口资金，满足产品的兑付需要。</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（五）再投资风险：管理人有权提前终止本理财产品。若管理人在本理财产品存续期内执行提前终止权，投资者将面临资金的再投资风险。</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管控措施：若遇本理财产品提前终止，管理人将提前1个工作日通过管理人或销售机构网站及时公告相关信息，敬请投资者予以关注。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六）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管控措施：若遇本理财产品不成立，管理人将于产品成立日当日通过管理人或销售机构网站及时公告相关信息，敬请投资者予以关注。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（七）信息传递风险：</w:t>
      </w:r>
      <w:r>
        <w:rPr>
          <w:rFonts w:hint="eastAsia" w:ascii="宋体" w:hAnsi="宋体" w:cs="宋体"/>
          <w:b/>
          <w:color w:val="000000"/>
          <w:kern w:val="0"/>
        </w:rPr>
        <w:t>管理人按照理财产品说明书有关条款的约定，发布理财产品的成立、运作、到期清算或提前终止等信息公告。投资者应根据约定及时登录管理人或销售机构网站查询。</w:t>
      </w:r>
      <w:r>
        <w:rPr>
          <w:rFonts w:hint="eastAsia" w:ascii="宋体" w:hAnsi="Wingdings" w:cs="宋体"/>
          <w:b/>
          <w:color w:val="000000"/>
          <w:kern w:val="0"/>
        </w:rPr>
        <w:t>若因投资者未及时通过前述方式查询相关信息，或由于通讯故障、系统故障以及其他不可抗力等因素的影响，使得投资者无法及时了解产品信息，不能及时了解理财产品的盈亏状况，并可能将丧失退出及再投资的机会，由此导致的风险和责任由投资者自行承担。投资者预留在销售机构的有效联系方式发生变更的，应及时通知销售机构。若投资者未及时将联系方式变更事宜告知销售机构，销售机构可能无法及时联系投资者、由此产生的投资风险和法律责任由投资者自行承担。</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管控措施：敬请投资者按照本说明书有关约定，及时获取本理财产品信息披露。</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八）政策风险：本理财产品是针对当前的相关法规和政策设计的，如国家宏观政策以及市场相关法规政策等发生变化，可能影响本理财产品的受理、投资、偿还等的正常进行，导致本理财产品收益降低甚至本金损失。</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九）代销风险：本理财产品通过代销渠道销售，投资者认购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管控措施：对于因上述原因导致的交易失败可能带来的任何损失及预期损失，投资者须自行承担或向代销机构依法主张。</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不可抗力风险：指由于自然灾害、战争等不可抗力因素的出现，将严重影响金融市场的正常运行，从而导致理财资产收益降低或损失，甚至影响本理财产品的受理、投资、偿还等的正常进行，进而影响本理财产品的资金收益安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一）特别提示：本理财产品是非保本净值型理财产品，不保证本金和收益，业绩比较基准不代表本计划单位份额收益必定达到该标准，管理人不对本理财计划承诺保本或保证收益。您的本金可能会因市场变动及上述风险因素而蒙受损失。您应充分认识投资风险，谨慎投资。</w:t>
      </w:r>
    </w:p>
    <w:p>
      <w:pPr>
        <w:spacing w:line="520" w:lineRule="exact"/>
        <w:ind w:firstLine="424" w:firstLineChars="202"/>
        <w:rPr>
          <w:rFonts w:hint="eastAsia" w:ascii="宋体" w:hAnsi="Wingdings" w:cs="宋体"/>
          <w:b/>
          <w:color w:val="000000"/>
          <w:kern w:val="0"/>
        </w:rPr>
      </w:pPr>
      <w:r>
        <w:rPr>
          <w:rFonts w:hint="eastAsia" w:ascii="宋体" w:hAnsi="Wingdings" w:cs="宋体"/>
          <w:color w:val="000000"/>
          <w:kern w:val="0"/>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产品的运作或收益分配情况，管理人不承担任何责任。若投资者对本理财说明书的内容有任何疑问或异议，</w:t>
      </w:r>
      <w:r>
        <w:rPr>
          <w:rFonts w:hint="eastAsia" w:ascii="宋体" w:hAnsi="Wingdings" w:cs="宋体"/>
          <w:b/>
          <w:color w:val="000000"/>
          <w:kern w:val="0"/>
        </w:rPr>
        <w:t>请致电投资者服务热线咨询、投诉。</w:t>
      </w:r>
    </w:p>
    <w:p>
      <w:pPr>
        <w:pStyle w:val="8"/>
        <w:numPr>
          <w:ilvl w:val="-1"/>
          <w:numId w:val="0"/>
        </w:numPr>
        <w:spacing w:before="0" w:after="0" w:line="520" w:lineRule="exact"/>
        <w:ind w:left="0" w:firstLine="0" w:firstLineChars="0"/>
        <w:jc w:val="both"/>
        <w:rPr>
          <w:rFonts w:hint="eastAsia" w:cs="宋体"/>
          <w:sz w:val="28"/>
          <w:szCs w:val="28"/>
        </w:rPr>
      </w:pPr>
      <w:r>
        <w:rPr>
          <w:rFonts w:hint="eastAsia" w:cs="宋体"/>
          <w:sz w:val="28"/>
          <w:szCs w:val="28"/>
          <w:lang w:val="en-US" w:eastAsia="zh-CN"/>
        </w:rPr>
        <w:t>十一、</w:t>
      </w:r>
      <w:r>
        <w:rPr>
          <w:rFonts w:hint="eastAsia" w:cs="宋体"/>
          <w:sz w:val="28"/>
          <w:szCs w:val="28"/>
        </w:rPr>
        <w:t>合作机构</w:t>
      </w:r>
    </w:p>
    <w:p>
      <w:pPr>
        <w:numPr>
          <w:ilvl w:val="0"/>
          <w:numId w:val="17"/>
        </w:numPr>
        <w:spacing w:line="300" w:lineRule="auto"/>
        <w:ind w:firstLine="424" w:firstLineChars="202"/>
        <w:rPr>
          <w:rFonts w:ascii="宋体" w:hAnsi="宋体" w:cs="宋体"/>
          <w:color w:val="000000"/>
          <w:kern w:val="0"/>
          <w:szCs w:val="21"/>
        </w:rPr>
      </w:pPr>
      <w:r>
        <w:rPr>
          <w:rFonts w:hint="eastAsia" w:ascii="宋体" w:hAnsi="宋体" w:cs="宋体"/>
          <w:color w:val="000000"/>
          <w:kern w:val="0"/>
          <w:szCs w:val="21"/>
        </w:rPr>
        <w:t>托管人</w:t>
      </w:r>
    </w:p>
    <w:tbl>
      <w:tblPr>
        <w:tblStyle w:val="13"/>
        <w:tblW w:w="9038"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7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托管人名称</w:t>
            </w:r>
          </w:p>
        </w:tc>
        <w:tc>
          <w:tcPr>
            <w:tcW w:w="7642" w:type="dxa"/>
            <w:noWrap w:val="0"/>
            <w:vAlign w:val="top"/>
          </w:tcPr>
          <w:p>
            <w:pPr>
              <w:spacing w:line="360" w:lineRule="auto"/>
              <w:jc w:val="left"/>
              <w:rPr>
                <w:rFonts w:ascii="宋体" w:hAnsi="宋体" w:cs="宋体"/>
                <w:bCs/>
                <w:szCs w:val="21"/>
              </w:rPr>
            </w:pPr>
            <w:r>
              <w:rPr>
                <w:rFonts w:hint="eastAsia" w:ascii="宋体" w:hAnsi="宋体" w:cs="宋体"/>
                <w:bCs/>
                <w:szCs w:val="21"/>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托管人住所</w:t>
            </w:r>
          </w:p>
        </w:tc>
        <w:tc>
          <w:tcPr>
            <w:tcW w:w="7642" w:type="dxa"/>
            <w:noWrap w:val="0"/>
            <w:vAlign w:val="top"/>
          </w:tcPr>
          <w:p>
            <w:pPr>
              <w:spacing w:line="360" w:lineRule="auto"/>
              <w:jc w:val="left"/>
              <w:rPr>
                <w:rFonts w:ascii="宋体" w:hAnsi="宋体" w:cs="宋体"/>
                <w:bCs/>
                <w:szCs w:val="21"/>
              </w:rPr>
            </w:pPr>
            <w:r>
              <w:rPr>
                <w:rFonts w:hint="eastAsia" w:ascii="宋体" w:hAnsi="宋体" w:cs="宋体"/>
                <w:bCs/>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托管人职责</w:t>
            </w:r>
          </w:p>
        </w:tc>
        <w:tc>
          <w:tcPr>
            <w:tcW w:w="7642" w:type="dxa"/>
            <w:noWrap w:val="0"/>
            <w:vAlign w:val="center"/>
          </w:tcPr>
          <w:p>
            <w:pPr>
              <w:spacing w:line="360" w:lineRule="auto"/>
              <w:jc w:val="both"/>
              <w:rPr>
                <w:rFonts w:ascii="宋体" w:hAnsi="宋体" w:cs="宋体"/>
                <w:bCs/>
                <w:szCs w:val="21"/>
              </w:rPr>
            </w:pPr>
            <w:r>
              <w:rPr>
                <w:rFonts w:hint="eastAsia" w:ascii="宋体" w:hAnsi="宋体" w:cs="宋体"/>
                <w:bCs/>
                <w:szCs w:val="21"/>
              </w:rPr>
              <w:t>主要提供包括账户开立、资金保管、资金结算、估值核对等理财产品托管服务。</w:t>
            </w:r>
          </w:p>
        </w:tc>
      </w:tr>
    </w:tbl>
    <w:p>
      <w:pPr>
        <w:numPr>
          <w:ilvl w:val="0"/>
          <w:numId w:val="17"/>
        </w:numPr>
        <w:spacing w:line="300" w:lineRule="auto"/>
        <w:ind w:firstLine="424" w:firstLineChars="202"/>
        <w:rPr>
          <w:rFonts w:hint="eastAsia" w:ascii="宋体" w:hAnsi="宋体" w:cs="宋体"/>
          <w:color w:val="000000"/>
          <w:kern w:val="0"/>
        </w:rPr>
      </w:pPr>
      <w:r>
        <w:rPr>
          <w:rFonts w:hint="eastAsia" w:ascii="宋体" w:hAnsi="宋体" w:cs="宋体"/>
          <w:color w:val="000000"/>
          <w:kern w:val="0"/>
        </w:rPr>
        <w:t>销售机构</w:t>
      </w:r>
    </w:p>
    <w:tbl>
      <w:tblPr>
        <w:tblStyle w:val="13"/>
        <w:tblW w:w="9025"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688"/>
        <w:gridCol w:w="1325"/>
        <w:gridCol w:w="4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restart"/>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销售机构</w:t>
            </w:r>
            <w:r>
              <w:rPr>
                <w:rFonts w:hint="eastAsia" w:ascii="宋体" w:hAnsi="宋体" w:cs="宋体"/>
                <w:color w:val="000000"/>
                <w:kern w:val="0"/>
                <w:szCs w:val="21"/>
                <w:lang w:val="en-US" w:eastAsia="zh-CN"/>
              </w:rPr>
              <w:t>信息</w:t>
            </w:r>
          </w:p>
        </w:tc>
        <w:tc>
          <w:tcPr>
            <w:tcW w:w="1688" w:type="dxa"/>
            <w:vMerge w:val="restart"/>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杭州银行股份有限公司</w:t>
            </w:r>
          </w:p>
        </w:tc>
        <w:tc>
          <w:tcPr>
            <w:tcW w:w="13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住所</w:t>
            </w:r>
          </w:p>
        </w:tc>
        <w:tc>
          <w:tcPr>
            <w:tcW w:w="46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Cs w:val="21"/>
              </w:rPr>
            </w:pPr>
          </w:p>
        </w:tc>
        <w:tc>
          <w:tcPr>
            <w:tcW w:w="1688" w:type="dxa"/>
            <w:vMerge w:val="continue"/>
            <w:noWrap w:val="0"/>
            <w:vAlign w:val="center"/>
          </w:tcPr>
          <w:p>
            <w:pPr>
              <w:widowControl/>
              <w:jc w:val="left"/>
              <w:rPr>
                <w:rFonts w:hint="eastAsia" w:ascii="宋体" w:hAnsi="宋体" w:eastAsia="宋体" w:cs="宋体"/>
                <w:i w:val="0"/>
                <w:color w:val="000000"/>
                <w:kern w:val="0"/>
                <w:sz w:val="21"/>
                <w:szCs w:val="21"/>
                <w:u w:val="none"/>
                <w:lang w:val="en-US" w:eastAsia="zh-CN" w:bidi="ar"/>
              </w:rPr>
            </w:pPr>
          </w:p>
        </w:tc>
        <w:tc>
          <w:tcPr>
            <w:tcW w:w="13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客服热线</w:t>
            </w:r>
          </w:p>
        </w:tc>
        <w:tc>
          <w:tcPr>
            <w:tcW w:w="46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95398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Cs w:val="21"/>
              </w:rPr>
            </w:pPr>
          </w:p>
        </w:tc>
        <w:tc>
          <w:tcPr>
            <w:tcW w:w="1688" w:type="dxa"/>
            <w:vMerge w:val="restart"/>
            <w:noWrap w:val="0"/>
            <w:vAlign w:val="center"/>
          </w:tcPr>
          <w:p>
            <w:pPr>
              <w:keepNext w:val="0"/>
              <w:keepLines w:val="0"/>
              <w:widowControl/>
              <w:suppressLineNumbers w:val="0"/>
              <w:jc w:val="center"/>
              <w:textAlignment w:val="center"/>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兴业银行股份有限公司</w:t>
            </w:r>
          </w:p>
        </w:tc>
        <w:tc>
          <w:tcPr>
            <w:tcW w:w="13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住所</w:t>
            </w:r>
          </w:p>
        </w:tc>
        <w:tc>
          <w:tcPr>
            <w:tcW w:w="46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上海市浦东新区银城路 167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 w:val="21"/>
                <w:szCs w:val="21"/>
              </w:rPr>
            </w:pPr>
          </w:p>
        </w:tc>
        <w:tc>
          <w:tcPr>
            <w:tcW w:w="1688" w:type="dxa"/>
            <w:vMerge w:val="continue"/>
            <w:noWrap w:val="0"/>
            <w:vAlign w:val="center"/>
          </w:tcPr>
          <w:p>
            <w:pPr>
              <w:jc w:val="center"/>
              <w:rPr>
                <w:rFonts w:hint="eastAsia" w:ascii="宋体" w:hAnsi="宋体" w:eastAsia="宋体" w:cs="宋体"/>
                <w:color w:val="000000"/>
                <w:kern w:val="0"/>
                <w:sz w:val="21"/>
                <w:szCs w:val="21"/>
                <w:highlight w:val="none"/>
              </w:rPr>
            </w:pPr>
          </w:p>
        </w:tc>
        <w:tc>
          <w:tcPr>
            <w:tcW w:w="13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客服热线</w:t>
            </w:r>
          </w:p>
        </w:tc>
        <w:tc>
          <w:tcPr>
            <w:tcW w:w="46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95561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Cs w:val="21"/>
              </w:rPr>
            </w:pPr>
          </w:p>
        </w:tc>
        <w:tc>
          <w:tcPr>
            <w:tcW w:w="1688" w:type="dxa"/>
            <w:vMerge w:val="restart"/>
            <w:noWrap w:val="0"/>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江苏银行股份有限公司</w:t>
            </w:r>
          </w:p>
        </w:tc>
        <w:tc>
          <w:tcPr>
            <w:tcW w:w="1325" w:type="dxa"/>
            <w:noWrap w:val="0"/>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noWrap w:val="0"/>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江苏省南京市中华路26号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厦门银行股份有限公司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厦门市思明区湖滨北路101号商业银行大厦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400-858-8888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厦门国际银行股份有限公司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厦门市思明区鹭江道8-10号国际银行大厦1-6层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400-1623-623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富邦华一银行有限公司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中国(上海)自由贸易试验区世纪大道1168号A座101室、18楼、19楼及20楼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8621—962811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宁波鄞州农村商业银行股份有限公司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浙江省宁波市鄞州区民惠西路88号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956058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深圳前海微众银行股份有限公司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广东省深圳市南山区沙河西路1819号深圳湾科技生态园7栋A座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吉林亿联银行股份有限公司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吉林省长春市南关区人民大街10606号东北亚国际金融中心一期北楼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4000-156-999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重庆富民银行股份有限公司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重庆市渝北区财富东路2号涉外商务区一期B1栋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4008－108－999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中信百信银行股份有限公司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北京市朝阳区安定路5号院3号楼8层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400-818-0100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江苏苏宁银行股份有限公司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南京市建邺区庐山路248号4号楼7、8、9、27、28、29层，4号楼裙楼第1、2层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石嘴山银行股份有限公司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宁夏回族自治区石嘴山市大武口区朝阳西街39号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0951-96789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中信银行股份有限公司</w:t>
            </w: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北京市朝阳区光华路10号院1号楼6-30层、32-42层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95558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齐鲁银行股份有限公司</w:t>
            </w: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山东省济南市历下区经十路10817号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400-609-6588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87"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销售机构职责</w:t>
            </w:r>
          </w:p>
        </w:tc>
        <w:tc>
          <w:tcPr>
            <w:tcW w:w="7638" w:type="dxa"/>
            <w:gridSpan w:val="3"/>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Cs w:val="21"/>
              </w:rPr>
              <w:t>主要负责理财计划推广、投资者风险承受能力评估、投资者适当性管理、理财计划份额认购、申购及赎回办理。</w:t>
            </w:r>
            <w:r>
              <w:rPr>
                <w:rFonts w:hint="eastAsia" w:ascii="宋体" w:hAnsi="宋体" w:cs="宋体"/>
                <w:color w:val="000000"/>
                <w:kern w:val="0"/>
                <w:szCs w:val="21"/>
              </w:rPr>
              <w:br w:type="textWrapping"/>
            </w:r>
            <w:r>
              <w:rPr>
                <w:rFonts w:hint="eastAsia" w:ascii="宋体" w:hAnsi="宋体" w:cs="宋体"/>
                <w:color w:val="000000"/>
                <w:kern w:val="0"/>
                <w:szCs w:val="21"/>
              </w:rPr>
              <w:t>协助管理人负责与投资者签订理财计划合同、与投资者沟通及进行信息披露、接受投资者咨询和客户维护等销售服务。</w:t>
            </w:r>
          </w:p>
        </w:tc>
      </w:tr>
    </w:tbl>
    <w:p>
      <w:pPr>
        <w:numPr>
          <w:ilvl w:val="-1"/>
          <w:numId w:val="0"/>
        </w:numPr>
        <w:spacing w:line="520" w:lineRule="exact"/>
        <w:ind w:firstLine="0"/>
        <w:rPr>
          <w:rFonts w:ascii="Cambria" w:hAnsi="Cambria" w:cs="宋体"/>
          <w:b/>
          <w:bCs/>
          <w:kern w:val="28"/>
          <w:sz w:val="28"/>
          <w:szCs w:val="28"/>
        </w:rPr>
      </w:pPr>
      <w:r>
        <w:rPr>
          <w:rFonts w:hint="eastAsia" w:ascii="Cambria" w:hAnsi="Cambria" w:cs="宋体"/>
          <w:b/>
          <w:bCs/>
          <w:kern w:val="28"/>
          <w:sz w:val="28"/>
          <w:szCs w:val="28"/>
          <w:lang w:val="en-US" w:eastAsia="zh-CN"/>
        </w:rPr>
        <w:t>十二、</w:t>
      </w:r>
      <w:r>
        <w:rPr>
          <w:rFonts w:hint="eastAsia" w:ascii="Cambria" w:hAnsi="Cambria" w:cs="宋体"/>
          <w:b/>
          <w:bCs/>
          <w:kern w:val="28"/>
          <w:sz w:val="28"/>
          <w:szCs w:val="28"/>
        </w:rPr>
        <w:t>其他</w:t>
      </w:r>
    </w:p>
    <w:p>
      <w:pPr>
        <w:spacing w:line="520" w:lineRule="exact"/>
        <w:rPr>
          <w:rFonts w:hint="eastAsia" w:ascii="宋体" w:hAnsi="Wingdings" w:cs="宋体"/>
          <w:color w:val="000000"/>
          <w:kern w:val="0"/>
        </w:rPr>
      </w:pPr>
      <w:r>
        <w:rPr>
          <w:rFonts w:hint="eastAsia" w:ascii="宋体" w:hAnsi="Wingdings" w:cs="宋体"/>
          <w:color w:val="000000"/>
          <w:kern w:val="0"/>
        </w:rPr>
        <w:t xml:space="preserve">    法律适用和争议解决</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理财计划合同的订立、生效、履行、解释、修改和终止等事项的适用法律和争议解决方式按照《</w:t>
      </w:r>
      <w:r>
        <w:rPr>
          <w:rFonts w:hint="eastAsia" w:ascii="宋体" w:hAnsi="Wingdings" w:cs="宋体"/>
          <w:color w:val="000000"/>
          <w:kern w:val="0"/>
          <w:lang w:val="en-US" w:eastAsia="zh-CN"/>
        </w:rPr>
        <w:t>杭银理财</w:t>
      </w:r>
      <w:r>
        <w:rPr>
          <w:rFonts w:hint="eastAsia" w:ascii="宋体" w:hAnsi="Wingdings" w:cs="宋体"/>
          <w:color w:val="000000"/>
          <w:kern w:val="0"/>
        </w:rPr>
        <w:t>理财</w:t>
      </w:r>
      <w:r>
        <w:rPr>
          <w:rFonts w:hint="eastAsia" w:ascii="宋体" w:hAnsi="Wingdings" w:cs="宋体"/>
          <w:color w:val="000000"/>
          <w:kern w:val="0"/>
          <w:lang w:val="en-US" w:eastAsia="zh-CN"/>
        </w:rPr>
        <w:t>计划投资</w:t>
      </w:r>
      <w:r>
        <w:rPr>
          <w:rFonts w:hint="eastAsia" w:ascii="宋体" w:hAnsi="Wingdings" w:cs="宋体"/>
          <w:color w:val="000000"/>
          <w:kern w:val="0"/>
        </w:rPr>
        <w:t>协议书》</w:t>
      </w:r>
      <w:r>
        <w:rPr>
          <w:rFonts w:hint="eastAsia" w:ascii="宋体" w:hAnsi="Wingdings" w:cs="宋体"/>
          <w:color w:val="000000"/>
          <w:kern w:val="0"/>
          <w:lang w:eastAsia="zh-CN"/>
        </w:rPr>
        <w:t>、</w:t>
      </w:r>
      <w:r>
        <w:rPr>
          <w:rFonts w:hint="eastAsia" w:ascii="宋体" w:hAnsi="Wingdings" w:cs="宋体"/>
          <w:color w:val="000000"/>
          <w:kern w:val="0"/>
          <w:lang w:val="en-US" w:eastAsia="zh-CN"/>
        </w:rPr>
        <w:t>《杭银理财理财计划销售协议书》</w:t>
      </w:r>
      <w:r>
        <w:rPr>
          <w:rFonts w:hint="eastAsia" w:ascii="宋体" w:hAnsi="Wingdings" w:cs="宋体"/>
          <w:color w:val="000000"/>
          <w:kern w:val="0"/>
        </w:rPr>
        <w:t>的相关约定执行。</w:t>
      </w:r>
    </w:p>
    <w:p>
      <w:pPr>
        <w:spacing w:line="520" w:lineRule="exact"/>
        <w:rPr>
          <w:rFonts w:hint="eastAsia" w:ascii="宋体" w:hAnsi="Wingdings" w:cs="宋体"/>
          <w:color w:val="000000"/>
          <w:kern w:val="0"/>
        </w:rPr>
      </w:pPr>
      <w:bookmarkStart w:id="3" w:name="_GoBack"/>
      <w:bookmarkEnd w:id="3"/>
    </w:p>
    <w:p>
      <w:pPr>
        <w:spacing w:line="520" w:lineRule="exact"/>
        <w:ind w:firstLine="424" w:firstLineChars="202"/>
        <w:rPr>
          <w:rFonts w:hint="eastAsia" w:ascii="宋体" w:hAnsi="Wingdings" w:cs="宋体"/>
          <w:color w:val="000000"/>
          <w:kern w:val="0"/>
        </w:rPr>
      </w:pPr>
    </w:p>
    <w:p>
      <w:r>
        <w:br w:type="page"/>
      </w:r>
    </w:p>
    <w:p w:rsidR="00B90D43" w:rsidRDefault="00B90D43" w:rsidP="00B66DA2">
      <w:pPr>
        <w:spacing w:line="360" w:lineRule="auto"/>
        <w:jc w:val="center"/>
        <w:rPr>
          <w:rFonts w:ascii="宋体" w:hAnsi="宋体"/>
          <w:b/>
          <w:bCs/>
          <w:color w:val="000000"/>
          <w:sz w:val="32"/>
          <w:szCs w:val="32"/>
        </w:rPr>
      </w:pPr>
      <w:bookmarkStart w:id="0" w:name="_GoBack"/>
      <w:bookmarkEnd w:id="0"/>
      <w:r>
        <w:rPr>
          <w:rFonts w:ascii="宋体" w:hAnsi="宋体" w:hint="eastAsia"/>
          <w:b/>
          <w:bCs/>
          <w:color w:val="000000"/>
          <w:sz w:val="32"/>
          <w:szCs w:val="32"/>
        </w:rPr>
        <w:t>杭银理财投资者权益须知</w:t>
      </w:r>
    </w:p>
    <w:p w:rsidR="00B90D43" w:rsidRDefault="00B90D43">
      <w:pPr>
        <w:jc w:val="center"/>
        <w:rPr>
          <w:rFonts w:ascii="宋体" w:hAnsi="宋体" w:hint="eastAsia"/>
          <w:b/>
          <w:bCs/>
          <w:color w:val="000000"/>
        </w:rPr>
      </w:pPr>
      <w:r>
        <w:rPr>
          <w:rFonts w:ascii="宋体" w:hAnsi="宋体" w:hint="eastAsia"/>
        </w:rPr>
        <w:t>（202101版）</w:t>
      </w:r>
    </w:p>
    <w:p w:rsidR="00B90D43" w:rsidRDefault="00B90D43">
      <w:pPr>
        <w:spacing w:line="360" w:lineRule="auto"/>
        <w:jc w:val="center"/>
        <w:rPr>
          <w:rFonts w:ascii="宋体" w:hAnsi="宋体" w:hint="eastAsia"/>
          <w:b/>
          <w:bCs/>
          <w:u w:val="single"/>
        </w:rPr>
      </w:pPr>
      <w:r>
        <w:rPr>
          <w:rFonts w:ascii="宋体" w:hAnsi="宋体" w:hint="eastAsia"/>
          <w:b/>
          <w:bCs/>
          <w:u w:val="single"/>
        </w:rPr>
        <w:t>理财非存款、产品有风险、投资须谨慎</w:t>
      </w:r>
    </w:p>
    <w:p w:rsidR="00B90D43" w:rsidRDefault="00B90D43">
      <w:pPr>
        <w:spacing w:line="360" w:lineRule="auto"/>
        <w:rPr>
          <w:rFonts w:ascii="宋体" w:hAnsi="宋体" w:hint="eastAsia"/>
          <w:kern w:val="0"/>
        </w:rPr>
      </w:pPr>
      <w:r>
        <w:rPr>
          <w:rFonts w:ascii="宋体" w:hAnsi="宋体" w:hint="eastAsia"/>
          <w:kern w:val="0"/>
        </w:rPr>
        <w:t>尊敬的投资者：</w:t>
      </w:r>
    </w:p>
    <w:p w:rsidR="00B90D43" w:rsidRDefault="00B90D43">
      <w:pPr>
        <w:spacing w:line="360" w:lineRule="auto"/>
        <w:ind w:firstLineChars="200" w:firstLine="420"/>
        <w:rPr>
          <w:rFonts w:ascii="宋体" w:hAnsi="宋体" w:hint="eastAsia"/>
          <w:kern w:val="0"/>
        </w:rPr>
      </w:pPr>
      <w:r>
        <w:rPr>
          <w:rFonts w:ascii="宋体" w:hAnsi="宋体" w:hint="eastAsia"/>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rsidR="00B90D43" w:rsidRDefault="006846F8" w:rsidP="006846F8">
      <w:pPr>
        <w:spacing w:line="360" w:lineRule="auto"/>
        <w:ind w:left="420"/>
        <w:rPr>
          <w:rFonts w:ascii="宋体" w:hAnsi="宋体" w:hint="eastAsia"/>
          <w:b/>
          <w:bCs/>
          <w:kern w:val="0"/>
        </w:rPr>
      </w:pPr>
      <w:r>
        <w:rPr>
          <w:rFonts w:ascii="宋体" w:hAnsi="宋体" w:hint="eastAsia"/>
          <w:b/>
          <w:bCs/>
          <w:kern w:val="0"/>
        </w:rPr>
        <w:t>一、</w:t>
      </w:r>
      <w:r w:rsidR="00B90D43">
        <w:rPr>
          <w:rFonts w:ascii="宋体" w:hAnsi="宋体" w:hint="eastAsia"/>
          <w:b/>
          <w:bCs/>
          <w:kern w:val="0"/>
        </w:rPr>
        <w:t>理财计划办理流程</w:t>
      </w:r>
    </w:p>
    <w:p w:rsidR="00B90D43" w:rsidRDefault="006846F8" w:rsidP="006846F8">
      <w:pPr>
        <w:spacing w:line="360" w:lineRule="auto"/>
        <w:ind w:firstLine="420"/>
        <w:rPr>
          <w:rFonts w:ascii="宋体" w:hAnsi="宋体" w:hint="eastAsia"/>
          <w:kern w:val="0"/>
        </w:rPr>
      </w:pPr>
      <w:r>
        <w:rPr>
          <w:rFonts w:ascii="宋体" w:hAnsi="宋体" w:hint="eastAsia"/>
          <w:kern w:val="0"/>
        </w:rPr>
        <w:t>（一）</w:t>
      </w:r>
      <w:r w:rsidR="00B90D43">
        <w:rPr>
          <w:rFonts w:ascii="宋体" w:hAnsi="宋体" w:hint="eastAsia"/>
          <w:kern w:val="0"/>
        </w:rPr>
        <w:t>首次在销售机构购买理财的投资者须开立或持有销售机构账户，提供真实身份信息并确认正确的联系方式；该账户用于本理财计划的资金划转及兑付，您应确保持有本理财计划期间指定账户不做销户。</w:t>
      </w:r>
    </w:p>
    <w:p w:rsidR="00B90D43" w:rsidRDefault="006846F8" w:rsidP="006846F8">
      <w:pPr>
        <w:spacing w:line="360" w:lineRule="auto"/>
        <w:ind w:firstLine="420"/>
        <w:rPr>
          <w:rFonts w:ascii="宋体" w:hAnsi="宋体" w:hint="eastAsia"/>
          <w:kern w:val="0"/>
        </w:rPr>
      </w:pPr>
      <w:r>
        <w:rPr>
          <w:rFonts w:ascii="宋体" w:hAnsi="宋体" w:hint="eastAsia"/>
          <w:kern w:val="0"/>
        </w:rPr>
        <w:t>（二）</w:t>
      </w:r>
      <w:r w:rsidR="00B90D43">
        <w:rPr>
          <w:rFonts w:ascii="宋体" w:hAnsi="宋体" w:hint="eastAsia"/>
          <w:kern w:val="0"/>
        </w:rPr>
        <w:t>首次在销售机构购买杭银</w:t>
      </w:r>
      <w:proofErr w:type="gramStart"/>
      <w:r w:rsidR="00B90D43">
        <w:rPr>
          <w:rFonts w:ascii="宋体" w:hAnsi="宋体" w:hint="eastAsia"/>
          <w:kern w:val="0"/>
        </w:rPr>
        <w:t>理财理财</w:t>
      </w:r>
      <w:proofErr w:type="gramEnd"/>
      <w:r w:rsidR="00B90D43">
        <w:rPr>
          <w:rFonts w:ascii="宋体" w:hAnsi="宋体" w:hint="eastAsia"/>
          <w:kern w:val="0"/>
        </w:rPr>
        <w:t>计划的个人投资者须接受并完成销售机构对您的风险承受能力评估，并确认风险承受能力等级不低于本理财计划风险评级。</w:t>
      </w:r>
    </w:p>
    <w:p w:rsidR="00B90D43" w:rsidRDefault="006846F8" w:rsidP="006846F8">
      <w:pPr>
        <w:spacing w:line="360" w:lineRule="auto"/>
        <w:ind w:firstLine="420"/>
        <w:rPr>
          <w:rFonts w:ascii="宋体" w:hAnsi="宋体" w:hint="eastAsia"/>
          <w:kern w:val="0"/>
        </w:rPr>
      </w:pPr>
      <w:r>
        <w:rPr>
          <w:rFonts w:ascii="宋体" w:hAnsi="宋体" w:hint="eastAsia"/>
          <w:kern w:val="0"/>
        </w:rPr>
        <w:t>（三）</w:t>
      </w:r>
      <w:r w:rsidR="00B90D43">
        <w:rPr>
          <w:rFonts w:ascii="宋体" w:hAnsi="宋体" w:hint="eastAsia"/>
          <w:kern w:val="0"/>
        </w:rPr>
        <w:t>投资者应仔细阅读本理财计划完整合同（包括但不限于风险揭示书、理财计划产品说明书、投资者权益须知</w:t>
      </w:r>
      <w:r w:rsidR="00A37174">
        <w:rPr>
          <w:rFonts w:ascii="宋体" w:hAnsi="宋体" w:hint="eastAsia"/>
          <w:kern w:val="0"/>
        </w:rPr>
        <w:t>、</w:t>
      </w:r>
      <w:r w:rsidR="00B90D43">
        <w:rPr>
          <w:rFonts w:ascii="宋体" w:hAnsi="宋体" w:hint="eastAsia"/>
          <w:kern w:val="0"/>
        </w:rPr>
        <w:t>理财计划投资协议书</w:t>
      </w:r>
      <w:r w:rsidR="00A37174">
        <w:rPr>
          <w:rFonts w:ascii="宋体" w:hAnsi="宋体" w:hint="eastAsia"/>
          <w:kern w:val="0"/>
        </w:rPr>
        <w:t>和理财计划销售协议书</w:t>
      </w:r>
      <w:r w:rsidR="00B90D43">
        <w:rPr>
          <w:rFonts w:ascii="宋体" w:hAnsi="宋体" w:hint="eastAsia"/>
          <w:kern w:val="0"/>
        </w:rPr>
        <w:t>）等相关协议文件，确认对理财计划条款及风险理解并无疑问和异议后，自主</w:t>
      </w:r>
      <w:proofErr w:type="gramStart"/>
      <w:r w:rsidR="00B90D43">
        <w:rPr>
          <w:rFonts w:ascii="宋体" w:hAnsi="宋体" w:hint="eastAsia"/>
          <w:kern w:val="0"/>
        </w:rPr>
        <w:t>作出</w:t>
      </w:r>
      <w:proofErr w:type="gramEnd"/>
      <w:r w:rsidR="00B90D43">
        <w:rPr>
          <w:rFonts w:ascii="宋体" w:hAnsi="宋体" w:hint="eastAsia"/>
          <w:kern w:val="0"/>
        </w:rPr>
        <w:t>认（申）购和赎回决定，独立抄录风险确认语句并签署相关销售文件，办理理财计划交易手续，自主承担投资风险。</w:t>
      </w:r>
    </w:p>
    <w:p w:rsidR="00B90D43" w:rsidRDefault="00581638" w:rsidP="00581638">
      <w:pPr>
        <w:spacing w:line="360" w:lineRule="auto"/>
        <w:ind w:firstLine="420"/>
        <w:rPr>
          <w:rFonts w:ascii="宋体" w:hAnsi="宋体" w:hint="eastAsia"/>
          <w:kern w:val="0"/>
        </w:rPr>
      </w:pPr>
      <w:r>
        <w:rPr>
          <w:rFonts w:ascii="宋体" w:hAnsi="宋体" w:hint="eastAsia"/>
          <w:kern w:val="0"/>
        </w:rPr>
        <w:t>（四）</w:t>
      </w:r>
      <w:r w:rsidR="00B90D43">
        <w:rPr>
          <w:rFonts w:ascii="宋体" w:hAnsi="宋体" w:hint="eastAsia"/>
          <w:kern w:val="0"/>
        </w:rPr>
        <w:t>如在银行营业场所购买杭银</w:t>
      </w:r>
      <w:proofErr w:type="gramStart"/>
      <w:r w:rsidR="00B90D43">
        <w:rPr>
          <w:rFonts w:ascii="宋体" w:hAnsi="宋体" w:hint="eastAsia"/>
          <w:kern w:val="0"/>
        </w:rPr>
        <w:t>理财理财</w:t>
      </w:r>
      <w:proofErr w:type="gramEnd"/>
      <w:r w:rsidR="00B90D43">
        <w:rPr>
          <w:rFonts w:ascii="宋体" w:hAnsi="宋体" w:hint="eastAsia"/>
          <w:kern w:val="0"/>
        </w:rPr>
        <w:t>计划，销售机构需对每笔理财计划销售过程同步录音录像。</w:t>
      </w:r>
    </w:p>
    <w:p w:rsidR="00B90D43" w:rsidRDefault="006846F8" w:rsidP="006846F8">
      <w:pPr>
        <w:spacing w:line="360" w:lineRule="auto"/>
        <w:ind w:left="420"/>
        <w:rPr>
          <w:rFonts w:ascii="宋体" w:hAnsi="宋体" w:hint="eastAsia"/>
          <w:kern w:val="0"/>
        </w:rPr>
      </w:pPr>
      <w:r>
        <w:rPr>
          <w:rFonts w:ascii="宋体" w:hAnsi="宋体" w:hint="eastAsia"/>
          <w:kern w:val="0"/>
        </w:rPr>
        <w:t>（五）</w:t>
      </w:r>
      <w:r w:rsidR="00B90D43">
        <w:rPr>
          <w:rFonts w:ascii="宋体" w:hAnsi="宋体" w:hint="eastAsia"/>
          <w:kern w:val="0"/>
        </w:rPr>
        <w:t>投资者确定交易金额，完成交易申请，并在确认份额后进行查询。</w:t>
      </w:r>
    </w:p>
    <w:p w:rsidR="00B90D43" w:rsidRDefault="006846F8" w:rsidP="006846F8">
      <w:pPr>
        <w:spacing w:line="360" w:lineRule="auto"/>
        <w:ind w:left="420"/>
        <w:rPr>
          <w:rFonts w:ascii="宋体" w:hAnsi="宋体" w:hint="eastAsia"/>
          <w:b/>
          <w:bCs/>
          <w:kern w:val="0"/>
        </w:rPr>
      </w:pPr>
      <w:r>
        <w:rPr>
          <w:rFonts w:ascii="宋体" w:hAnsi="宋体" w:hint="eastAsia"/>
          <w:b/>
          <w:bCs/>
          <w:kern w:val="0"/>
        </w:rPr>
        <w:t>二、</w:t>
      </w:r>
      <w:r w:rsidR="00B90D43">
        <w:rPr>
          <w:rFonts w:ascii="宋体" w:hAnsi="宋体" w:hint="eastAsia"/>
          <w:b/>
          <w:bCs/>
          <w:kern w:val="0"/>
        </w:rPr>
        <w:t>杭银理财产品风险评级</w:t>
      </w:r>
    </w:p>
    <w:p w:rsidR="00B90D43" w:rsidRDefault="00B90D43">
      <w:pPr>
        <w:spacing w:line="360" w:lineRule="auto"/>
        <w:ind w:firstLineChars="200" w:firstLine="420"/>
        <w:rPr>
          <w:rFonts w:ascii="宋体" w:hAnsi="宋体" w:hint="eastAsia"/>
          <w:kern w:val="0"/>
        </w:rPr>
      </w:pPr>
      <w:r>
        <w:rPr>
          <w:rFonts w:ascii="宋体" w:hAnsi="宋体" w:hint="eastAsia"/>
          <w:kern w:val="0"/>
        </w:rPr>
        <w:t>产品类型按照风险由低到高依次划分为低风险（R1）、中低风险（R2）、中等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p w:rsidR="00B90D43" w:rsidRDefault="00B90D43">
      <w:pPr>
        <w:spacing w:line="360" w:lineRule="auto"/>
        <w:ind w:firstLineChars="200" w:firstLine="420"/>
        <w:rPr>
          <w:rFonts w:ascii="宋体" w:hAnsi="宋体" w:hint="eastAsia"/>
          <w:kern w:val="0"/>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5"/>
        <w:gridCol w:w="4287"/>
        <w:gridCol w:w="2490"/>
      </w:tblGrid>
      <w:tr w:rsidR="00B90D43">
        <w:trPr>
          <w:jc w:val="center"/>
        </w:trPr>
        <w:tc>
          <w:tcPr>
            <w:tcW w:w="1745" w:type="dxa"/>
            <w:tcBorders>
              <w:top w:val="single" w:sz="4" w:space="0" w:color="auto"/>
              <w:left w:val="single" w:sz="4" w:space="0" w:color="auto"/>
              <w:bottom w:val="single" w:sz="4" w:space="0" w:color="auto"/>
              <w:right w:val="single" w:sz="4" w:space="0" w:color="auto"/>
            </w:tcBorders>
            <w:vAlign w:val="center"/>
          </w:tcPr>
          <w:p w:rsidR="00B90D43" w:rsidRDefault="00B90D43">
            <w:pPr>
              <w:spacing w:line="360" w:lineRule="auto"/>
              <w:jc w:val="center"/>
              <w:rPr>
                <w:rFonts w:ascii="宋体" w:hAnsi="宋体"/>
                <w:b/>
                <w:bCs/>
                <w:kern w:val="0"/>
              </w:rPr>
            </w:pPr>
            <w:r>
              <w:rPr>
                <w:rFonts w:ascii="宋体" w:hAnsi="宋体" w:hint="eastAsia"/>
                <w:b/>
                <w:bCs/>
                <w:kern w:val="0"/>
              </w:rPr>
              <w:t>产品风险等级</w:t>
            </w:r>
          </w:p>
        </w:tc>
        <w:tc>
          <w:tcPr>
            <w:tcW w:w="4287" w:type="dxa"/>
            <w:tcBorders>
              <w:top w:val="single" w:sz="4" w:space="0" w:color="auto"/>
              <w:left w:val="nil"/>
              <w:bottom w:val="single" w:sz="4" w:space="0" w:color="auto"/>
              <w:right w:val="single" w:sz="4" w:space="0" w:color="auto"/>
            </w:tcBorders>
            <w:vAlign w:val="center"/>
          </w:tcPr>
          <w:p w:rsidR="00B90D43" w:rsidRDefault="00B90D43">
            <w:pPr>
              <w:spacing w:line="360" w:lineRule="auto"/>
              <w:jc w:val="center"/>
              <w:rPr>
                <w:rFonts w:ascii="宋体" w:hAnsi="宋体"/>
                <w:b/>
                <w:bCs/>
                <w:kern w:val="0"/>
              </w:rPr>
            </w:pPr>
            <w:r>
              <w:rPr>
                <w:rFonts w:ascii="宋体" w:hAnsi="宋体" w:hint="eastAsia"/>
                <w:b/>
                <w:bCs/>
                <w:kern w:val="0"/>
              </w:rPr>
              <w:t>风险等级说明</w:t>
            </w:r>
          </w:p>
        </w:tc>
        <w:tc>
          <w:tcPr>
            <w:tcW w:w="2490" w:type="dxa"/>
            <w:tcBorders>
              <w:top w:val="single" w:sz="4" w:space="0" w:color="auto"/>
              <w:left w:val="nil"/>
              <w:bottom w:val="single" w:sz="4" w:space="0" w:color="auto"/>
              <w:right w:val="single" w:sz="4" w:space="0" w:color="auto"/>
            </w:tcBorders>
            <w:vAlign w:val="center"/>
          </w:tcPr>
          <w:p w:rsidR="00B90D43" w:rsidRDefault="00B90D43">
            <w:pPr>
              <w:spacing w:line="360" w:lineRule="auto"/>
              <w:jc w:val="center"/>
              <w:rPr>
                <w:rFonts w:ascii="宋体" w:hAnsi="宋体"/>
                <w:b/>
                <w:bCs/>
                <w:kern w:val="0"/>
              </w:rPr>
            </w:pPr>
            <w:r>
              <w:rPr>
                <w:rFonts w:ascii="宋体" w:hAnsi="宋体" w:hint="eastAsia"/>
                <w:b/>
                <w:bCs/>
                <w:kern w:val="0"/>
              </w:rPr>
              <w:t>适合销售的投资者</w:t>
            </w:r>
          </w:p>
        </w:tc>
      </w:tr>
      <w:tr w:rsidR="00B90D43">
        <w:trPr>
          <w:jc w:val="center"/>
        </w:trPr>
        <w:tc>
          <w:tcPr>
            <w:tcW w:w="1745" w:type="dxa"/>
            <w:tcBorders>
              <w:top w:val="single" w:sz="4" w:space="0" w:color="auto"/>
              <w:left w:val="single" w:sz="4" w:space="0" w:color="auto"/>
              <w:bottom w:val="single" w:sz="4" w:space="0" w:color="auto"/>
              <w:right w:val="single" w:sz="4" w:space="0" w:color="auto"/>
            </w:tcBorders>
            <w:vAlign w:val="center"/>
          </w:tcPr>
          <w:p w:rsidR="00B90D43" w:rsidRDefault="00B90D43">
            <w:pPr>
              <w:spacing w:line="360" w:lineRule="auto"/>
              <w:jc w:val="center"/>
              <w:rPr>
                <w:rFonts w:ascii="宋体" w:hAnsi="宋体"/>
                <w:kern w:val="0"/>
              </w:rPr>
            </w:pPr>
            <w:r>
              <w:rPr>
                <w:rFonts w:ascii="宋体" w:hAnsi="宋体" w:hint="eastAsia"/>
                <w:kern w:val="0"/>
              </w:rPr>
              <w:t>R1</w:t>
            </w:r>
          </w:p>
        </w:tc>
        <w:tc>
          <w:tcPr>
            <w:tcW w:w="4287"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产品总体风险程度低，收益波动小，产品本金安全性高，收益不能实现的可能性很小</w:t>
            </w:r>
          </w:p>
        </w:tc>
        <w:tc>
          <w:tcPr>
            <w:tcW w:w="2490"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机构投资者及保守型、稳健型、平衡型、成长型、</w:t>
            </w:r>
            <w:r>
              <w:rPr>
                <w:rFonts w:ascii="宋体" w:hAnsi="宋体" w:hint="eastAsia"/>
                <w:kern w:val="0"/>
              </w:rPr>
              <w:lastRenderedPageBreak/>
              <w:t>进取型的个人投资者</w:t>
            </w:r>
          </w:p>
        </w:tc>
      </w:tr>
      <w:tr w:rsidR="00B90D43">
        <w:trPr>
          <w:jc w:val="center"/>
        </w:trPr>
        <w:tc>
          <w:tcPr>
            <w:tcW w:w="1745" w:type="dxa"/>
            <w:tcBorders>
              <w:top w:val="single" w:sz="4" w:space="0" w:color="auto"/>
              <w:left w:val="single" w:sz="4" w:space="0" w:color="auto"/>
              <w:bottom w:val="single" w:sz="4" w:space="0" w:color="auto"/>
              <w:right w:val="single" w:sz="4" w:space="0" w:color="auto"/>
            </w:tcBorders>
            <w:vAlign w:val="center"/>
          </w:tcPr>
          <w:p w:rsidR="00B90D43" w:rsidRDefault="00B90D43">
            <w:pPr>
              <w:spacing w:line="360" w:lineRule="auto"/>
              <w:jc w:val="center"/>
              <w:rPr>
                <w:rFonts w:ascii="宋体" w:hAnsi="宋体"/>
                <w:kern w:val="0"/>
              </w:rPr>
            </w:pPr>
            <w:r>
              <w:rPr>
                <w:rFonts w:ascii="宋体" w:hAnsi="宋体" w:hint="eastAsia"/>
                <w:kern w:val="0"/>
              </w:rPr>
              <w:lastRenderedPageBreak/>
              <w:t>R2</w:t>
            </w:r>
          </w:p>
        </w:tc>
        <w:tc>
          <w:tcPr>
            <w:tcW w:w="4287"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产品总体风险程度较低，收益波动较小，虽然存在一些可能对产品本金和收益安全产生不利影响的因素，但产品本金出现损失的可能性较小</w:t>
            </w:r>
          </w:p>
        </w:tc>
        <w:tc>
          <w:tcPr>
            <w:tcW w:w="2490"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机构投资者及稳健型、平衡型、成长型、进取型的个人投资者</w:t>
            </w:r>
          </w:p>
        </w:tc>
      </w:tr>
      <w:tr w:rsidR="00B90D43">
        <w:trPr>
          <w:jc w:val="center"/>
        </w:trPr>
        <w:tc>
          <w:tcPr>
            <w:tcW w:w="1745" w:type="dxa"/>
            <w:tcBorders>
              <w:top w:val="single" w:sz="4" w:space="0" w:color="auto"/>
              <w:left w:val="single" w:sz="4" w:space="0" w:color="auto"/>
              <w:bottom w:val="single" w:sz="4" w:space="0" w:color="auto"/>
              <w:right w:val="single" w:sz="4" w:space="0" w:color="auto"/>
            </w:tcBorders>
            <w:vAlign w:val="center"/>
          </w:tcPr>
          <w:p w:rsidR="00B90D43" w:rsidRDefault="00B90D43">
            <w:pPr>
              <w:spacing w:line="360" w:lineRule="auto"/>
              <w:jc w:val="center"/>
              <w:rPr>
                <w:rFonts w:ascii="宋体" w:hAnsi="宋体"/>
                <w:kern w:val="0"/>
              </w:rPr>
            </w:pPr>
            <w:r>
              <w:rPr>
                <w:rFonts w:ascii="宋体" w:hAnsi="宋体" w:hint="eastAsia"/>
                <w:kern w:val="0"/>
              </w:rPr>
              <w:t>R3</w:t>
            </w:r>
          </w:p>
        </w:tc>
        <w:tc>
          <w:tcPr>
            <w:tcW w:w="4287"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产品总体风险程度适中，收益存在一定的波动，产品本金出现损失的可能性不容忽视</w:t>
            </w:r>
          </w:p>
        </w:tc>
        <w:tc>
          <w:tcPr>
            <w:tcW w:w="2490"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机构投资者及平衡型、成长型、进取型的个人投资者</w:t>
            </w:r>
          </w:p>
        </w:tc>
      </w:tr>
      <w:tr w:rsidR="00B90D43">
        <w:trPr>
          <w:jc w:val="center"/>
        </w:trPr>
        <w:tc>
          <w:tcPr>
            <w:tcW w:w="1745" w:type="dxa"/>
            <w:tcBorders>
              <w:top w:val="single" w:sz="4" w:space="0" w:color="auto"/>
              <w:left w:val="single" w:sz="4" w:space="0" w:color="auto"/>
              <w:bottom w:val="single" w:sz="4" w:space="0" w:color="auto"/>
              <w:right w:val="single" w:sz="4" w:space="0" w:color="auto"/>
            </w:tcBorders>
            <w:vAlign w:val="center"/>
          </w:tcPr>
          <w:p w:rsidR="00B90D43" w:rsidRDefault="00B90D43">
            <w:pPr>
              <w:spacing w:line="360" w:lineRule="auto"/>
              <w:jc w:val="center"/>
              <w:rPr>
                <w:rFonts w:ascii="宋体" w:hAnsi="宋体"/>
                <w:kern w:val="0"/>
              </w:rPr>
            </w:pPr>
            <w:r>
              <w:rPr>
                <w:rFonts w:ascii="宋体" w:hAnsi="宋体" w:hint="eastAsia"/>
                <w:kern w:val="0"/>
              </w:rPr>
              <w:t>R4</w:t>
            </w:r>
          </w:p>
        </w:tc>
        <w:tc>
          <w:tcPr>
            <w:tcW w:w="4287"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产品总体风险程度较高，收益波动较明显，产品本金出现损失的可能性高</w:t>
            </w:r>
          </w:p>
        </w:tc>
        <w:tc>
          <w:tcPr>
            <w:tcW w:w="2490"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机构投资者及成长型、进取型的个人投资者</w:t>
            </w:r>
          </w:p>
        </w:tc>
      </w:tr>
      <w:tr w:rsidR="00B90D43">
        <w:trPr>
          <w:jc w:val="center"/>
        </w:trPr>
        <w:tc>
          <w:tcPr>
            <w:tcW w:w="1745" w:type="dxa"/>
            <w:tcBorders>
              <w:top w:val="single" w:sz="4" w:space="0" w:color="auto"/>
              <w:left w:val="single" w:sz="4" w:space="0" w:color="auto"/>
              <w:bottom w:val="single" w:sz="4" w:space="0" w:color="auto"/>
              <w:right w:val="single" w:sz="4" w:space="0" w:color="auto"/>
            </w:tcBorders>
            <w:vAlign w:val="center"/>
          </w:tcPr>
          <w:p w:rsidR="00B90D43" w:rsidRDefault="00B90D43">
            <w:pPr>
              <w:spacing w:line="360" w:lineRule="auto"/>
              <w:jc w:val="center"/>
              <w:rPr>
                <w:rFonts w:ascii="宋体" w:hAnsi="宋体"/>
                <w:kern w:val="0"/>
              </w:rPr>
            </w:pPr>
            <w:r>
              <w:rPr>
                <w:rFonts w:ascii="宋体" w:hAnsi="宋体" w:hint="eastAsia"/>
                <w:kern w:val="0"/>
              </w:rPr>
              <w:t>R5</w:t>
            </w:r>
          </w:p>
        </w:tc>
        <w:tc>
          <w:tcPr>
            <w:tcW w:w="4287"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产品总体风险程度高，收益波动明显，产品本金出现损失的可能性很高，产品本金出现全部损失的可能性不容忽视</w:t>
            </w:r>
          </w:p>
        </w:tc>
        <w:tc>
          <w:tcPr>
            <w:tcW w:w="2490" w:type="dxa"/>
            <w:tcBorders>
              <w:top w:val="single" w:sz="4" w:space="0" w:color="auto"/>
              <w:left w:val="nil"/>
              <w:bottom w:val="single" w:sz="4" w:space="0" w:color="auto"/>
              <w:right w:val="single" w:sz="4" w:space="0" w:color="auto"/>
            </w:tcBorders>
            <w:vAlign w:val="center"/>
          </w:tcPr>
          <w:p w:rsidR="00B90D43" w:rsidRDefault="00B90D43">
            <w:pPr>
              <w:spacing w:line="360" w:lineRule="auto"/>
              <w:rPr>
                <w:rFonts w:ascii="宋体" w:hAnsi="宋体"/>
                <w:kern w:val="0"/>
              </w:rPr>
            </w:pPr>
            <w:r>
              <w:rPr>
                <w:rFonts w:ascii="宋体" w:hAnsi="宋体" w:hint="eastAsia"/>
                <w:kern w:val="0"/>
              </w:rPr>
              <w:t>机构投资者及进取型的个人投资者</w:t>
            </w:r>
          </w:p>
        </w:tc>
      </w:tr>
    </w:tbl>
    <w:p w:rsidR="00B90D43" w:rsidRDefault="006846F8" w:rsidP="006846F8">
      <w:pPr>
        <w:spacing w:line="360" w:lineRule="auto"/>
        <w:ind w:left="420"/>
        <w:rPr>
          <w:rFonts w:ascii="宋体" w:hAnsi="宋体" w:hint="eastAsia"/>
          <w:b/>
          <w:bCs/>
          <w:kern w:val="0"/>
        </w:rPr>
      </w:pPr>
      <w:r>
        <w:rPr>
          <w:rFonts w:ascii="宋体" w:hAnsi="宋体" w:hint="eastAsia"/>
          <w:b/>
          <w:bCs/>
          <w:kern w:val="0"/>
        </w:rPr>
        <w:t>三、</w:t>
      </w:r>
      <w:r w:rsidR="00B90D43">
        <w:rPr>
          <w:rFonts w:ascii="宋体" w:hAnsi="宋体" w:hint="eastAsia"/>
          <w:b/>
          <w:bCs/>
          <w:kern w:val="0"/>
        </w:rPr>
        <w:t>投资者风险承受能力评估</w:t>
      </w:r>
    </w:p>
    <w:p w:rsidR="00B90D43" w:rsidRDefault="006846F8" w:rsidP="006846F8">
      <w:pPr>
        <w:spacing w:line="360" w:lineRule="auto"/>
        <w:ind w:firstLine="420"/>
        <w:rPr>
          <w:rFonts w:ascii="宋体" w:hAnsi="宋体" w:hint="eastAsia"/>
          <w:kern w:val="0"/>
        </w:rPr>
      </w:pPr>
      <w:r>
        <w:rPr>
          <w:rFonts w:ascii="宋体" w:hAnsi="宋体" w:hint="eastAsia"/>
          <w:kern w:val="0"/>
        </w:rPr>
        <w:t>（一）</w:t>
      </w:r>
      <w:r w:rsidR="00B90D43">
        <w:rPr>
          <w:rFonts w:ascii="宋体" w:hAnsi="宋体" w:hint="eastAsia"/>
          <w:kern w:val="0"/>
        </w:rPr>
        <w:t>本理财计划销售工作及投资者适当性评估由销售机构负责。个人投资者首次通过销售机构购买杭银</w:t>
      </w:r>
      <w:proofErr w:type="gramStart"/>
      <w:r w:rsidR="00B90D43">
        <w:rPr>
          <w:rFonts w:ascii="宋体" w:hAnsi="宋体" w:hint="eastAsia"/>
          <w:kern w:val="0"/>
        </w:rPr>
        <w:t>理财理财</w:t>
      </w:r>
      <w:proofErr w:type="gramEnd"/>
      <w:r w:rsidR="00B90D43">
        <w:rPr>
          <w:rFonts w:ascii="宋体" w:hAnsi="宋体" w:hint="eastAsia"/>
          <w:kern w:val="0"/>
        </w:rPr>
        <w:t>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rsidR="00B90D43" w:rsidRDefault="006846F8" w:rsidP="006846F8">
      <w:pPr>
        <w:spacing w:line="360" w:lineRule="auto"/>
        <w:ind w:firstLine="420"/>
        <w:rPr>
          <w:rFonts w:ascii="宋体" w:hAnsi="宋体" w:hint="eastAsia"/>
          <w:kern w:val="0"/>
        </w:rPr>
      </w:pPr>
      <w:r>
        <w:rPr>
          <w:rFonts w:ascii="宋体" w:hAnsi="宋体" w:hint="eastAsia"/>
          <w:kern w:val="0"/>
        </w:rPr>
        <w:t>（二）</w:t>
      </w:r>
      <w:r w:rsidR="00B90D43">
        <w:rPr>
          <w:rFonts w:ascii="宋体" w:hAnsi="宋体" w:hint="eastAsia"/>
          <w:kern w:val="0"/>
        </w:rPr>
        <w:t>个人投资者风险承受能力评估结果有效期为一年，如风险承受能力评估时效已超过一年，或影响风险承受能力的因素发生变化，请及时完成风险承受能力的重新评估。</w:t>
      </w:r>
    </w:p>
    <w:p w:rsidR="00B90D43" w:rsidRDefault="006846F8" w:rsidP="006846F8">
      <w:pPr>
        <w:spacing w:line="360" w:lineRule="auto"/>
        <w:ind w:left="420"/>
        <w:rPr>
          <w:rFonts w:ascii="宋体" w:hAnsi="宋体" w:hint="eastAsia"/>
          <w:kern w:val="0"/>
        </w:rPr>
      </w:pPr>
      <w:r>
        <w:rPr>
          <w:rFonts w:ascii="宋体" w:hAnsi="宋体" w:hint="eastAsia"/>
          <w:kern w:val="0"/>
        </w:rPr>
        <w:t>（三）</w:t>
      </w:r>
      <w:r w:rsidR="00B90D43">
        <w:rPr>
          <w:rFonts w:ascii="宋体" w:hAnsi="宋体" w:hint="eastAsia"/>
          <w:kern w:val="0"/>
        </w:rPr>
        <w:t>个人投资者风险承受能力评估流程（详</w:t>
      </w:r>
      <w:proofErr w:type="gramStart"/>
      <w:r w:rsidR="00B90D43">
        <w:rPr>
          <w:rFonts w:ascii="宋体" w:hAnsi="宋体" w:hint="eastAsia"/>
          <w:kern w:val="0"/>
        </w:rPr>
        <w:t>询</w:t>
      </w:r>
      <w:proofErr w:type="gramEnd"/>
      <w:r w:rsidR="00B90D43">
        <w:rPr>
          <w:rFonts w:ascii="宋体" w:hAnsi="宋体" w:hint="eastAsia"/>
          <w:kern w:val="0"/>
        </w:rPr>
        <w:t>销售机构工作人员）</w:t>
      </w:r>
    </w:p>
    <w:p w:rsidR="00B90D43" w:rsidRDefault="006846F8" w:rsidP="006846F8">
      <w:pPr>
        <w:spacing w:line="360" w:lineRule="auto"/>
        <w:ind w:left="400"/>
        <w:rPr>
          <w:rFonts w:ascii="宋体" w:hAnsi="宋体" w:hint="eastAsia"/>
          <w:kern w:val="0"/>
        </w:rPr>
      </w:pPr>
      <w:r>
        <w:rPr>
          <w:rFonts w:hint="cs"/>
          <w:kern w:val="0"/>
        </w:rPr>
        <w:t>1</w:t>
      </w:r>
      <w:r>
        <w:rPr>
          <w:kern w:val="0"/>
        </w:rPr>
        <w:t xml:space="preserve">. </w:t>
      </w:r>
      <w:r w:rsidR="00B90D43">
        <w:rPr>
          <w:rFonts w:ascii="宋体" w:hAnsi="宋体" w:hint="eastAsia"/>
          <w:kern w:val="0"/>
        </w:rPr>
        <w:t>个人投资者在销售机构进行风险承受能力评估；</w:t>
      </w:r>
    </w:p>
    <w:p w:rsidR="00B90D43" w:rsidRDefault="006846F8" w:rsidP="006846F8">
      <w:pPr>
        <w:spacing w:line="360" w:lineRule="auto"/>
        <w:ind w:left="400"/>
        <w:rPr>
          <w:rFonts w:ascii="宋体" w:hAnsi="宋体" w:hint="eastAsia"/>
          <w:kern w:val="0"/>
        </w:rPr>
      </w:pPr>
      <w:r>
        <w:rPr>
          <w:kern w:val="0"/>
        </w:rPr>
        <w:t xml:space="preserve">2. </w:t>
      </w:r>
      <w:r w:rsidR="00B90D43">
        <w:rPr>
          <w:rFonts w:ascii="宋体" w:hAnsi="宋体" w:hint="eastAsia"/>
          <w:kern w:val="0"/>
        </w:rPr>
        <w:t>填写销售机构个人投资者风险承受能力测试问卷；</w:t>
      </w:r>
    </w:p>
    <w:p w:rsidR="00B90D43" w:rsidRDefault="006846F8" w:rsidP="006846F8">
      <w:pPr>
        <w:spacing w:line="360" w:lineRule="auto"/>
        <w:ind w:left="400"/>
        <w:rPr>
          <w:rFonts w:ascii="宋体" w:hAnsi="宋体" w:hint="eastAsia"/>
          <w:kern w:val="0"/>
        </w:rPr>
      </w:pPr>
      <w:r>
        <w:rPr>
          <w:kern w:val="0"/>
        </w:rPr>
        <w:t xml:space="preserve">3. </w:t>
      </w:r>
      <w:r w:rsidR="00B90D43">
        <w:rPr>
          <w:rFonts w:ascii="宋体" w:hAnsi="宋体" w:hint="eastAsia"/>
          <w:kern w:val="0"/>
        </w:rPr>
        <w:t>生成相应的个人投资者风险承受能力评估结果；</w:t>
      </w:r>
    </w:p>
    <w:p w:rsidR="00B90D43" w:rsidRDefault="006846F8" w:rsidP="006846F8">
      <w:pPr>
        <w:spacing w:line="360" w:lineRule="auto"/>
        <w:ind w:left="400"/>
        <w:rPr>
          <w:rFonts w:ascii="宋体" w:hAnsi="宋体" w:hint="eastAsia"/>
          <w:kern w:val="0"/>
        </w:rPr>
      </w:pPr>
      <w:r>
        <w:rPr>
          <w:kern w:val="0"/>
        </w:rPr>
        <w:t xml:space="preserve">4. </w:t>
      </w:r>
      <w:r w:rsidR="00B90D43">
        <w:rPr>
          <w:rFonts w:ascii="宋体" w:hAnsi="宋体" w:hint="eastAsia"/>
          <w:kern w:val="0"/>
        </w:rPr>
        <w:t>投资者对评估结果进行确认。</w:t>
      </w:r>
    </w:p>
    <w:p w:rsidR="00B90D43" w:rsidRDefault="006846F8" w:rsidP="006846F8">
      <w:pPr>
        <w:spacing w:line="360" w:lineRule="auto"/>
        <w:ind w:firstLine="400"/>
        <w:rPr>
          <w:rFonts w:ascii="宋体" w:hAnsi="宋体" w:hint="eastAsia"/>
          <w:kern w:val="0"/>
        </w:rPr>
      </w:pPr>
      <w:r>
        <w:rPr>
          <w:rFonts w:ascii="宋体" w:hAnsi="宋体" w:hint="eastAsia"/>
          <w:kern w:val="0"/>
        </w:rPr>
        <w:t>（四）</w:t>
      </w:r>
      <w:r w:rsidR="00B90D43">
        <w:rPr>
          <w:rFonts w:ascii="宋体" w:hAnsi="宋体" w:hint="eastAsia"/>
          <w:kern w:val="0"/>
        </w:rPr>
        <w:t>风险承受能力评估结果将作为评价个人投资者是否适合购买理财计划的重要因素，风险承受能力评级越高适合购买的理财计划风险评级越高，适合购买的理财计划类型越丰富。</w:t>
      </w:r>
    </w:p>
    <w:p w:rsidR="00B90D43" w:rsidRDefault="006846F8" w:rsidP="006846F8">
      <w:pPr>
        <w:spacing w:line="360" w:lineRule="auto"/>
        <w:ind w:firstLine="400"/>
        <w:rPr>
          <w:rFonts w:ascii="宋体" w:hAnsi="宋体" w:hint="eastAsia"/>
          <w:kern w:val="0"/>
        </w:rPr>
      </w:pPr>
      <w:r>
        <w:rPr>
          <w:rFonts w:ascii="宋体" w:hAnsi="宋体" w:hint="eastAsia"/>
          <w:kern w:val="0"/>
        </w:rPr>
        <w:t>（五）</w:t>
      </w:r>
      <w:r w:rsidR="00B90D43">
        <w:rPr>
          <w:rFonts w:ascii="宋体" w:hAnsi="宋体" w:hint="eastAsia"/>
          <w:kern w:val="0"/>
        </w:rPr>
        <w:t>代销机构应当根据本机构的方式和方法，独立审慎地对理财计划进行销售评级，如销售评级与本公司产品评级结果不一致的，代理销售机构应当采用对应较高风险等级的评级结果并予以披露。在代销</w:t>
      </w:r>
      <w:r w:rsidR="00B90D43">
        <w:rPr>
          <w:rFonts w:ascii="宋体" w:hAnsi="宋体" w:hint="eastAsia"/>
          <w:kern w:val="0"/>
        </w:rPr>
        <w:lastRenderedPageBreak/>
        <w:t>过程中，应充分揭示风险，确保个人投资者的风险承受能力等级不低于本理财计划最终披露的风险评级。如本理财计划通过代理销售机构渠道销售的，理财产品评级应当以代理销售机构最终披露的评级结果为准。</w:t>
      </w:r>
    </w:p>
    <w:p w:rsidR="00B90D43" w:rsidRDefault="006846F8" w:rsidP="006846F8">
      <w:pPr>
        <w:spacing w:line="360" w:lineRule="auto"/>
        <w:ind w:firstLine="400"/>
        <w:rPr>
          <w:rFonts w:ascii="宋体" w:hAnsi="宋体" w:hint="eastAsia"/>
          <w:kern w:val="0"/>
        </w:rPr>
      </w:pPr>
      <w:r>
        <w:rPr>
          <w:rFonts w:ascii="宋体" w:hAnsi="宋体" w:hint="eastAsia"/>
          <w:kern w:val="0"/>
        </w:rPr>
        <w:t>（六）</w:t>
      </w:r>
      <w:r w:rsidR="00B90D43">
        <w:rPr>
          <w:rFonts w:ascii="宋体" w:hAnsi="宋体" w:hint="eastAsia"/>
          <w:kern w:val="0"/>
        </w:rPr>
        <w:t>机构投资者购买理财计划前无须进行风险评估能力测试。机构投资者不适用个人投资者的风险承受能力评估，</w:t>
      </w:r>
      <w:proofErr w:type="gramStart"/>
      <w:r w:rsidR="00B90D43">
        <w:rPr>
          <w:rFonts w:ascii="宋体" w:hAnsi="宋体" w:hint="eastAsia"/>
          <w:kern w:val="0"/>
        </w:rPr>
        <w:t>请机构</w:t>
      </w:r>
      <w:proofErr w:type="gramEnd"/>
      <w:r w:rsidR="00B90D43">
        <w:rPr>
          <w:rFonts w:ascii="宋体" w:hAnsi="宋体" w:hint="eastAsia"/>
          <w:kern w:val="0"/>
        </w:rPr>
        <w:t>投资者根据自身财务状况、投资风格、资金需求等要素，并在阅读本权益须知、产品说明书和风险揭示书的基础上，充分认识投资本理财计划需要承担的风险。</w:t>
      </w:r>
    </w:p>
    <w:p w:rsidR="00B90D43" w:rsidRDefault="00B90D43">
      <w:pPr>
        <w:spacing w:line="360" w:lineRule="auto"/>
        <w:ind w:firstLineChars="200" w:firstLine="422"/>
        <w:rPr>
          <w:rFonts w:ascii="宋体" w:hAnsi="宋体" w:hint="eastAsia"/>
          <w:b/>
          <w:bCs/>
          <w:kern w:val="0"/>
        </w:rPr>
      </w:pPr>
      <w:r>
        <w:rPr>
          <w:rFonts w:ascii="宋体" w:hAnsi="宋体" w:hint="eastAsia"/>
          <w:b/>
          <w:bCs/>
          <w:kern w:val="0"/>
        </w:rPr>
        <w:t>四、理财计划信息披露</w:t>
      </w:r>
    </w:p>
    <w:p w:rsidR="00B90D43" w:rsidRDefault="00B90D43">
      <w:pPr>
        <w:spacing w:line="360" w:lineRule="auto"/>
        <w:ind w:firstLineChars="200" w:firstLine="420"/>
        <w:rPr>
          <w:rFonts w:ascii="宋体" w:hAnsi="宋体" w:hint="eastAsia"/>
          <w:kern w:val="0"/>
        </w:rPr>
      </w:pPr>
      <w:r>
        <w:rPr>
          <w:rFonts w:ascii="宋体" w:hAnsi="宋体" w:hint="eastAsia"/>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rsidR="00B90D43" w:rsidRDefault="00B90D43">
      <w:pPr>
        <w:spacing w:line="360" w:lineRule="auto"/>
        <w:ind w:firstLineChars="200" w:firstLine="422"/>
        <w:rPr>
          <w:rFonts w:ascii="宋体" w:hAnsi="宋体" w:hint="eastAsia"/>
          <w:b/>
          <w:bCs/>
          <w:kern w:val="0"/>
        </w:rPr>
      </w:pPr>
      <w:r>
        <w:rPr>
          <w:rFonts w:ascii="宋体" w:hAnsi="宋体" w:hint="eastAsia"/>
          <w:b/>
          <w:bCs/>
          <w:kern w:val="0"/>
        </w:rPr>
        <w:t>五、投资者信息管理</w:t>
      </w:r>
    </w:p>
    <w:p w:rsidR="00B90D43" w:rsidRDefault="00B90D43">
      <w:pPr>
        <w:spacing w:line="360" w:lineRule="auto"/>
        <w:ind w:firstLineChars="200" w:firstLine="420"/>
        <w:rPr>
          <w:rFonts w:ascii="宋体" w:hAnsi="宋体" w:hint="eastAsia"/>
          <w:kern w:val="0"/>
        </w:rPr>
      </w:pPr>
      <w:r>
        <w:rPr>
          <w:rFonts w:ascii="宋体" w:hAnsi="宋体" w:hint="eastAsia"/>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rsidR="00B90D43" w:rsidRDefault="00B90D43">
      <w:pPr>
        <w:spacing w:line="360" w:lineRule="auto"/>
        <w:ind w:firstLineChars="200" w:firstLine="420"/>
        <w:rPr>
          <w:rFonts w:ascii="宋体" w:hAnsi="宋体" w:hint="eastAsia"/>
          <w:kern w:val="0"/>
        </w:rPr>
      </w:pPr>
      <w:r>
        <w:rPr>
          <w:rFonts w:ascii="宋体" w:hAnsi="宋体" w:hint="eastAsia"/>
          <w:kern w:val="0"/>
        </w:rPr>
        <w:t>本公司及销售机构收集、使用个人信息，应当按照法律法规规定，遵循正当、必要原则，保证信息采集、处理及使用的安全性和合法性。未经客户专门授权，不得将投资者信息及相关理财计划销售信息提供</w:t>
      </w:r>
      <w:proofErr w:type="gramStart"/>
      <w:r>
        <w:rPr>
          <w:rFonts w:ascii="宋体" w:hAnsi="宋体" w:hint="eastAsia"/>
          <w:kern w:val="0"/>
        </w:rPr>
        <w:t>其他第三</w:t>
      </w:r>
      <w:proofErr w:type="gramEnd"/>
      <w:r>
        <w:rPr>
          <w:rFonts w:ascii="宋体" w:hAnsi="宋体" w:hint="eastAsia"/>
          <w:kern w:val="0"/>
        </w:rPr>
        <w:t>方机构和个人，法律、行政法规和国务院银行业监督管理机构另有规定的除外。</w:t>
      </w:r>
    </w:p>
    <w:p w:rsidR="00B90D43" w:rsidRDefault="00B90D43">
      <w:pPr>
        <w:spacing w:line="360" w:lineRule="auto"/>
        <w:ind w:firstLineChars="200" w:firstLine="422"/>
        <w:rPr>
          <w:rFonts w:ascii="宋体" w:hAnsi="宋体" w:hint="eastAsia"/>
          <w:b/>
          <w:bCs/>
          <w:kern w:val="0"/>
        </w:rPr>
      </w:pPr>
      <w:r>
        <w:rPr>
          <w:rFonts w:ascii="宋体" w:hAnsi="宋体" w:hint="eastAsia"/>
          <w:b/>
          <w:bCs/>
          <w:kern w:val="0"/>
        </w:rPr>
        <w:t>六、投诉与建议</w:t>
      </w:r>
    </w:p>
    <w:p w:rsidR="00B90D43" w:rsidRDefault="006846F8" w:rsidP="006846F8">
      <w:pPr>
        <w:spacing w:line="360" w:lineRule="auto"/>
        <w:ind w:firstLine="420"/>
        <w:rPr>
          <w:rFonts w:ascii="宋体" w:hAnsi="宋体" w:hint="eastAsia"/>
          <w:kern w:val="0"/>
        </w:rPr>
      </w:pPr>
      <w:r>
        <w:rPr>
          <w:rFonts w:ascii="宋体" w:hAnsi="宋体" w:hint="eastAsia"/>
          <w:kern w:val="0"/>
        </w:rPr>
        <w:t>（一）</w:t>
      </w:r>
      <w:r w:rsidR="00B90D43">
        <w:rPr>
          <w:rFonts w:ascii="宋体" w:hAnsi="宋体" w:hint="eastAsia"/>
          <w:kern w:val="0"/>
        </w:rPr>
        <w:t>投资者如认为销售机构推介、销售理财计划时有不实或未尽风险告知职责或其它疑义事项，或对理财计划、销售机构及理财计划管理人服务有任何意见或建议，可通过拨打销售机构热线或客</w:t>
      </w:r>
      <w:proofErr w:type="gramStart"/>
      <w:r w:rsidR="00B90D43">
        <w:rPr>
          <w:rFonts w:ascii="宋体" w:hAnsi="宋体" w:hint="eastAsia"/>
          <w:kern w:val="0"/>
        </w:rPr>
        <w:t>服电话</w:t>
      </w:r>
      <w:proofErr w:type="gramEnd"/>
      <w:r w:rsidR="00B90D43">
        <w:rPr>
          <w:rFonts w:ascii="宋体" w:hAnsi="宋体" w:hint="eastAsia"/>
          <w:kern w:val="0"/>
        </w:rPr>
        <w:t>进行反馈。销售机构将由专人接听、记录您的意见建议，并由双方协商共同解决。</w:t>
      </w:r>
    </w:p>
    <w:p w:rsidR="00B90D43" w:rsidRDefault="006846F8" w:rsidP="006846F8">
      <w:pPr>
        <w:spacing w:line="360" w:lineRule="auto"/>
        <w:ind w:left="420"/>
        <w:rPr>
          <w:rFonts w:ascii="宋体" w:hAnsi="宋体" w:hint="eastAsia"/>
          <w:kern w:val="0"/>
        </w:rPr>
      </w:pPr>
      <w:r>
        <w:rPr>
          <w:rFonts w:ascii="宋体" w:hAnsi="宋体" w:hint="eastAsia"/>
          <w:kern w:val="0"/>
        </w:rPr>
        <w:t>（二）</w:t>
      </w:r>
      <w:r w:rsidR="00B90D43">
        <w:rPr>
          <w:rFonts w:ascii="宋体" w:hAnsi="宋体" w:hint="eastAsia"/>
          <w:kern w:val="0"/>
        </w:rPr>
        <w:t>联络方式</w:t>
      </w:r>
    </w:p>
    <w:p w:rsidR="00B90D43" w:rsidRDefault="00B90D43">
      <w:pPr>
        <w:spacing w:line="360" w:lineRule="auto"/>
        <w:ind w:firstLineChars="200" w:firstLine="420"/>
        <w:rPr>
          <w:rFonts w:ascii="宋体" w:hAnsi="宋体" w:hint="eastAsia"/>
          <w:kern w:val="0"/>
        </w:rPr>
      </w:pPr>
      <w:r>
        <w:rPr>
          <w:rFonts w:ascii="宋体" w:hAnsi="宋体" w:hint="eastAsia"/>
          <w:kern w:val="0"/>
        </w:rPr>
        <w:t>在杭州银行（作为销售机构）购买本理财计划的请联系杭州银行，杭州银行客户服务热线：95398、4008888508，杭州银行官方网站：www.hzbank.com.cn。</w:t>
      </w:r>
    </w:p>
    <w:p w:rsidR="00B90D43" w:rsidRDefault="00B90D43">
      <w:pPr>
        <w:spacing w:line="360" w:lineRule="auto"/>
        <w:ind w:firstLineChars="200" w:firstLine="420"/>
        <w:rPr>
          <w:rFonts w:ascii="宋体" w:hAnsi="宋体" w:hint="eastAsia"/>
          <w:kern w:val="0"/>
        </w:rPr>
      </w:pPr>
      <w:r>
        <w:rPr>
          <w:rFonts w:ascii="宋体" w:hAnsi="宋体" w:hint="eastAsia"/>
          <w:kern w:val="0"/>
        </w:rPr>
        <w:t>在其他销售机构购买理财计划的，请联系其他销售机构，联系方式以其披露为准。</w:t>
      </w:r>
    </w:p>
    <w:p w:rsidR="00B90D43" w:rsidRDefault="00B90D43">
      <w:pPr>
        <w:spacing w:line="360" w:lineRule="auto"/>
        <w:ind w:firstLineChars="200" w:firstLine="420"/>
        <w:rPr>
          <w:rFonts w:ascii="宋体" w:hAnsi="宋体" w:hint="eastAsia"/>
          <w:kern w:val="0"/>
        </w:rPr>
      </w:pPr>
      <w:r>
        <w:rPr>
          <w:rFonts w:ascii="宋体" w:hAnsi="宋体" w:hint="eastAsia"/>
          <w:kern w:val="0"/>
        </w:rPr>
        <w:t>杭银理财联络方式：</w:t>
      </w:r>
    </w:p>
    <w:p w:rsidR="00B90D43" w:rsidRDefault="006846F8" w:rsidP="006846F8">
      <w:pPr>
        <w:pStyle w:val="ListParagraph2"/>
        <w:spacing w:line="360" w:lineRule="auto"/>
        <w:ind w:left="400" w:firstLineChars="0" w:firstLine="0"/>
        <w:rPr>
          <w:rFonts w:ascii="宋体" w:hAnsi="宋体" w:hint="eastAsia"/>
          <w:kern w:val="0"/>
          <w:szCs w:val="21"/>
        </w:rPr>
      </w:pPr>
      <w:r>
        <w:rPr>
          <w:kern w:val="0"/>
        </w:rPr>
        <w:t xml:space="preserve">1. </w:t>
      </w:r>
      <w:r w:rsidR="00B90D43">
        <w:rPr>
          <w:rFonts w:ascii="宋体" w:hAnsi="宋体" w:hint="eastAsia"/>
          <w:kern w:val="0"/>
          <w:szCs w:val="21"/>
        </w:rPr>
        <w:t>官方网站：暂无</w:t>
      </w:r>
    </w:p>
    <w:p w:rsidR="00B90D43" w:rsidRDefault="006846F8" w:rsidP="006846F8">
      <w:pPr>
        <w:pStyle w:val="ListParagraph2"/>
        <w:spacing w:line="360" w:lineRule="auto"/>
        <w:ind w:left="400" w:firstLineChars="0" w:firstLine="0"/>
        <w:rPr>
          <w:rFonts w:ascii="宋体" w:hAnsi="宋体" w:hint="eastAsia"/>
          <w:kern w:val="0"/>
          <w:szCs w:val="21"/>
        </w:rPr>
      </w:pPr>
      <w:r>
        <w:rPr>
          <w:kern w:val="0"/>
        </w:rPr>
        <w:t xml:space="preserve">2. </w:t>
      </w:r>
      <w:r w:rsidR="00B90D43">
        <w:rPr>
          <w:rFonts w:ascii="宋体" w:hAnsi="宋体" w:hint="eastAsia"/>
          <w:kern w:val="0"/>
          <w:szCs w:val="21"/>
        </w:rPr>
        <w:t>公司地址：杭州市拱</w:t>
      </w:r>
      <w:proofErr w:type="gramStart"/>
      <w:r w:rsidR="00B90D43">
        <w:rPr>
          <w:rFonts w:ascii="宋体" w:hAnsi="宋体" w:hint="eastAsia"/>
          <w:kern w:val="0"/>
          <w:szCs w:val="21"/>
        </w:rPr>
        <w:t>墅</w:t>
      </w:r>
      <w:proofErr w:type="gramEnd"/>
      <w:r w:rsidR="00B90D43">
        <w:rPr>
          <w:rFonts w:ascii="宋体" w:hAnsi="宋体" w:hint="eastAsia"/>
          <w:kern w:val="0"/>
          <w:szCs w:val="21"/>
        </w:rPr>
        <w:t>区庆春路38号金龙财富中心6楼</w:t>
      </w:r>
    </w:p>
    <w:p w:rsidR="00B90D43" w:rsidRDefault="00B90D43">
      <w:r>
        <w:rPr>
          <w:rFonts w:ascii="宋体" w:hAnsi="宋体" w:hint="eastAsia"/>
          <w:kern w:val="0"/>
        </w:rPr>
        <w:t>若</w:t>
      </w:r>
      <w:proofErr w:type="gramStart"/>
      <w:r>
        <w:rPr>
          <w:rFonts w:ascii="宋体" w:hAnsi="宋体" w:hint="eastAsia"/>
          <w:kern w:val="0"/>
        </w:rPr>
        <w:t>上述联系</w:t>
      </w:r>
      <w:proofErr w:type="gramEnd"/>
      <w:r>
        <w:rPr>
          <w:rFonts w:ascii="宋体" w:hAnsi="宋体" w:hint="eastAsia"/>
          <w:kern w:val="0"/>
        </w:rPr>
        <w:t>方式变更，杭银理财将提前通过原官方网站及时告知投资者</w:t>
      </w:r>
    </w:p>
    <w:p>
      <w:r>
        <w:br w:type="page"/>
      </w:r>
    </w:p>
    <w:p w:rsidR="00B90D43" w:rsidRDefault="00B90D43">
      <w:pPr>
        <w:jc w:val="center"/>
        <w:rPr>
          <w:rFonts w:ascii="宋体" w:hAnsi="宋体"/>
          <w:b/>
          <w:bCs/>
          <w:sz w:val="32"/>
          <w:szCs w:val="32"/>
        </w:rPr>
      </w:pPr>
      <w:bookmarkStart w:id="0" w:name="_GoBack"/>
      <w:bookmarkEnd w:id="0"/>
      <w:r>
        <w:rPr>
          <w:rFonts w:ascii="宋体" w:hAnsi="宋体" w:hint="eastAsia"/>
          <w:b/>
          <w:bCs/>
          <w:sz w:val="32"/>
          <w:szCs w:val="32"/>
        </w:rPr>
        <w:t>杭银</w:t>
      </w:r>
      <w:proofErr w:type="gramStart"/>
      <w:r>
        <w:rPr>
          <w:rFonts w:ascii="宋体" w:hAnsi="宋体" w:hint="eastAsia"/>
          <w:b/>
          <w:bCs/>
          <w:sz w:val="32"/>
          <w:szCs w:val="32"/>
        </w:rPr>
        <w:t>理财理财</w:t>
      </w:r>
      <w:proofErr w:type="gramEnd"/>
      <w:r>
        <w:rPr>
          <w:rFonts w:ascii="宋体" w:hAnsi="宋体" w:hint="eastAsia"/>
          <w:b/>
          <w:bCs/>
          <w:sz w:val="32"/>
          <w:szCs w:val="32"/>
        </w:rPr>
        <w:t>计划投资协议书</w:t>
      </w:r>
    </w:p>
    <w:p w:rsidR="00B90D43" w:rsidRDefault="00B90D43">
      <w:pPr>
        <w:jc w:val="center"/>
        <w:rPr>
          <w:rFonts w:ascii="宋体" w:hAnsi="宋体" w:hint="eastAsia"/>
          <w:b/>
          <w:bCs/>
        </w:rPr>
      </w:pPr>
      <w:r>
        <w:rPr>
          <w:rFonts w:ascii="宋体" w:hAnsi="宋体" w:hint="eastAsia"/>
        </w:rPr>
        <w:t>（202101版）</w:t>
      </w:r>
    </w:p>
    <w:p w:rsidR="00B90D43" w:rsidRDefault="00B90D43">
      <w:pPr>
        <w:jc w:val="center"/>
        <w:rPr>
          <w:rFonts w:ascii="宋体" w:hAnsi="宋体" w:hint="eastAsia"/>
          <w:b/>
          <w:bCs/>
        </w:rPr>
      </w:pPr>
      <w:r>
        <w:rPr>
          <w:rFonts w:ascii="宋体" w:hAnsi="宋体" w:hint="eastAsia"/>
          <w:b/>
          <w:bCs/>
        </w:rPr>
        <w:t xml:space="preserve"> </w:t>
      </w:r>
    </w:p>
    <w:p w:rsidR="00B90D43" w:rsidRDefault="00B90D43">
      <w:pPr>
        <w:spacing w:line="360" w:lineRule="auto"/>
        <w:ind w:firstLineChars="200" w:firstLine="422"/>
        <w:rPr>
          <w:rFonts w:ascii="宋体" w:hAnsi="宋体" w:hint="eastAsia"/>
          <w:b/>
          <w:bCs/>
        </w:rPr>
      </w:pPr>
      <w:r>
        <w:rPr>
          <w:rFonts w:ascii="宋体" w:hAnsi="宋体" w:hint="eastAsia"/>
          <w:b/>
          <w:bCs/>
        </w:rPr>
        <w:t>特别提示：杭银</w:t>
      </w:r>
      <w:proofErr w:type="gramStart"/>
      <w:r>
        <w:rPr>
          <w:rFonts w:ascii="宋体" w:hAnsi="宋体" w:hint="eastAsia"/>
          <w:b/>
          <w:bCs/>
        </w:rPr>
        <w:t>理财理财</w:t>
      </w:r>
      <w:proofErr w:type="gramEnd"/>
      <w:r>
        <w:rPr>
          <w:rFonts w:ascii="宋体" w:hAnsi="宋体" w:hint="eastAsia"/>
          <w:b/>
          <w:bCs/>
        </w:rPr>
        <w:t>计划投资协议书与投资者权益须知、风险揭示书、理财计划销售协议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rsidR="00B90D43" w:rsidRDefault="00B90D43">
      <w:pPr>
        <w:spacing w:line="360" w:lineRule="auto"/>
        <w:ind w:firstLineChars="200" w:firstLine="420"/>
        <w:rPr>
          <w:rFonts w:ascii="宋体" w:hAnsi="宋体" w:hint="eastAsia"/>
        </w:rPr>
      </w:pPr>
      <w:r>
        <w:rPr>
          <w:rFonts w:ascii="宋体" w:hAnsi="宋体" w:hint="eastAsia"/>
        </w:rPr>
        <w:t>投资者与管理人（即杭银理财有限责任公司）经平等友好协商，本着自愿、诚实信用原则，就投资者购买管理人发行的理财计划有关事宜达成如下协议（以下简称“本协议”）：</w:t>
      </w:r>
    </w:p>
    <w:p w:rsidR="00B90D43" w:rsidRDefault="006E25DD" w:rsidP="006E25DD">
      <w:pPr>
        <w:spacing w:line="360" w:lineRule="auto"/>
        <w:ind w:firstLine="420"/>
        <w:rPr>
          <w:rFonts w:ascii="宋体" w:hAnsi="宋体" w:hint="eastAsia"/>
          <w:b/>
          <w:bCs/>
        </w:rPr>
      </w:pPr>
      <w:r>
        <w:rPr>
          <w:rFonts w:ascii="宋体" w:hAnsi="宋体" w:hint="eastAsia"/>
          <w:b/>
          <w:bCs/>
        </w:rPr>
        <w:t xml:space="preserve">第一条 </w:t>
      </w:r>
      <w:r w:rsidR="00B90D43">
        <w:rPr>
          <w:rFonts w:ascii="宋体" w:hAnsi="宋体" w:hint="eastAsia"/>
          <w:b/>
          <w:bCs/>
        </w:rPr>
        <w:t>名词释义</w:t>
      </w:r>
    </w:p>
    <w:p w:rsidR="00B90D43" w:rsidRDefault="00B90D43">
      <w:pPr>
        <w:spacing w:line="360" w:lineRule="auto"/>
        <w:ind w:firstLineChars="200" w:firstLine="420"/>
        <w:rPr>
          <w:rFonts w:ascii="宋体" w:hAnsi="宋体" w:hint="eastAsia"/>
        </w:rPr>
      </w:pPr>
      <w:r>
        <w:rPr>
          <w:rFonts w:ascii="宋体" w:hAnsi="宋体" w:hint="eastAsia"/>
        </w:rPr>
        <w:t>详见理财计划说明书“释义”部分。</w:t>
      </w:r>
    </w:p>
    <w:p w:rsidR="00B90D43" w:rsidRDefault="006E25DD" w:rsidP="006E25DD">
      <w:pPr>
        <w:spacing w:line="360" w:lineRule="auto"/>
        <w:ind w:left="422"/>
        <w:rPr>
          <w:rFonts w:ascii="宋体" w:hAnsi="宋体" w:hint="eastAsia"/>
          <w:b/>
          <w:bCs/>
        </w:rPr>
      </w:pPr>
      <w:r>
        <w:rPr>
          <w:rFonts w:ascii="宋体" w:hAnsi="宋体" w:hint="eastAsia"/>
          <w:b/>
          <w:bCs/>
        </w:rPr>
        <w:t xml:space="preserve">第二条 </w:t>
      </w:r>
      <w:r w:rsidR="00B90D43">
        <w:rPr>
          <w:rFonts w:ascii="宋体" w:hAnsi="宋体" w:hint="eastAsia"/>
          <w:b/>
          <w:bCs/>
        </w:rPr>
        <w:t>投资者权利与义务</w:t>
      </w:r>
    </w:p>
    <w:p w:rsidR="00B90D43" w:rsidRDefault="006E25DD" w:rsidP="006E25DD">
      <w:pPr>
        <w:widowControl/>
        <w:spacing w:line="360" w:lineRule="auto"/>
        <w:ind w:firstLine="420"/>
        <w:contextualSpacing/>
        <w:rPr>
          <w:rFonts w:ascii="宋体" w:hAnsi="宋体" w:hint="eastAsia"/>
        </w:rPr>
      </w:pPr>
      <w:r>
        <w:rPr>
          <w:rFonts w:ascii="宋体" w:hAnsi="宋体" w:hint="eastAsia"/>
        </w:rPr>
        <w:t>（一）</w:t>
      </w:r>
      <w:r w:rsidR="00B90D43">
        <w:rPr>
          <w:rFonts w:ascii="宋体" w:hAnsi="宋体" w:hint="eastAsia"/>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sidR="00B90D43">
        <w:rPr>
          <w:rFonts w:ascii="宋体" w:hAnsi="宋体" w:hint="eastAsia"/>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rsidR="00B90D43" w:rsidRDefault="005A460C" w:rsidP="005A460C">
      <w:pPr>
        <w:widowControl/>
        <w:spacing w:line="360" w:lineRule="auto"/>
        <w:ind w:firstLine="420"/>
        <w:contextualSpacing/>
        <w:rPr>
          <w:rFonts w:ascii="宋体" w:hAnsi="宋体" w:hint="eastAsia"/>
        </w:rPr>
      </w:pPr>
      <w:r>
        <w:rPr>
          <w:rFonts w:ascii="宋体" w:hAnsi="宋体" w:hint="eastAsia"/>
        </w:rPr>
        <w:t>（二）</w:t>
      </w:r>
      <w:r w:rsidR="00B90D43">
        <w:rPr>
          <w:rFonts w:ascii="宋体" w:hAnsi="宋体" w:hint="eastAsia"/>
        </w:rPr>
        <w:t>投资者保证自身完全了解理财投资的性质，投资所涉及的风险以及自身风险承受能力，在慎重考虑后独立</w:t>
      </w:r>
      <w:proofErr w:type="gramStart"/>
      <w:r w:rsidR="00B90D43">
        <w:rPr>
          <w:rFonts w:ascii="宋体" w:hAnsi="宋体" w:hint="eastAsia"/>
        </w:rPr>
        <w:t>作出</w:t>
      </w:r>
      <w:proofErr w:type="gramEnd"/>
      <w:r w:rsidR="00B90D43">
        <w:rPr>
          <w:rFonts w:ascii="宋体" w:hAnsi="宋体" w:hint="eastAsia"/>
        </w:rPr>
        <w:t>交易决定。</w:t>
      </w:r>
    </w:p>
    <w:p w:rsidR="00B90D43" w:rsidRDefault="005A460C" w:rsidP="005A460C">
      <w:pPr>
        <w:widowControl/>
        <w:spacing w:line="360" w:lineRule="auto"/>
        <w:ind w:left="420"/>
        <w:contextualSpacing/>
        <w:rPr>
          <w:rFonts w:ascii="宋体" w:hAnsi="宋体" w:hint="eastAsia"/>
        </w:rPr>
      </w:pPr>
      <w:r>
        <w:rPr>
          <w:rFonts w:ascii="宋体" w:hAnsi="宋体" w:hint="eastAsia"/>
        </w:rPr>
        <w:t>（三）</w:t>
      </w:r>
      <w:r w:rsidR="00B90D43">
        <w:rPr>
          <w:rFonts w:ascii="宋体" w:hAnsi="宋体" w:hint="eastAsia"/>
        </w:rPr>
        <w:t>投资者保证其有权利签署本协议和履行本协议所述的义务，并已为此采取一切所需的行为。</w:t>
      </w:r>
    </w:p>
    <w:p w:rsidR="00B90D43" w:rsidRDefault="005A460C" w:rsidP="005A460C">
      <w:pPr>
        <w:widowControl/>
        <w:spacing w:line="360" w:lineRule="auto"/>
        <w:ind w:firstLine="420"/>
        <w:contextualSpacing/>
        <w:rPr>
          <w:rFonts w:ascii="宋体" w:hAnsi="宋体" w:hint="eastAsia"/>
        </w:rPr>
      </w:pPr>
      <w:r>
        <w:rPr>
          <w:rFonts w:ascii="宋体" w:hAnsi="宋体" w:hint="eastAsia"/>
        </w:rPr>
        <w:t>（四）</w:t>
      </w:r>
      <w:r w:rsidR="00B90D43">
        <w:rPr>
          <w:rFonts w:ascii="宋体" w:hAnsi="宋体" w:hint="eastAsia"/>
        </w:rPr>
        <w:t>投资者保证执行及交付任何文件或履行本协议项下的义务，均不会违反任何适用法律、法规、法令或法律限制，任何法院或其他政府机关所</w:t>
      </w:r>
      <w:proofErr w:type="gramStart"/>
      <w:r w:rsidR="00B90D43">
        <w:rPr>
          <w:rFonts w:ascii="宋体" w:hAnsi="宋体" w:hint="eastAsia"/>
        </w:rPr>
        <w:t>作出</w:t>
      </w:r>
      <w:proofErr w:type="gramEnd"/>
      <w:r w:rsidR="00B90D43">
        <w:rPr>
          <w:rFonts w:ascii="宋体" w:hAnsi="宋体" w:hint="eastAsia"/>
        </w:rPr>
        <w:t>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rsidR="00B90D43" w:rsidRDefault="005A460C" w:rsidP="005A460C">
      <w:pPr>
        <w:widowControl/>
        <w:spacing w:line="360" w:lineRule="auto"/>
        <w:ind w:firstLine="420"/>
        <w:contextualSpacing/>
        <w:rPr>
          <w:rFonts w:ascii="宋体" w:hAnsi="宋体" w:hint="eastAsia"/>
        </w:rPr>
      </w:pPr>
      <w:r>
        <w:rPr>
          <w:rFonts w:ascii="宋体" w:hAnsi="宋体" w:hint="eastAsia"/>
        </w:rPr>
        <w:t>（五）</w:t>
      </w:r>
      <w:r w:rsidR="00B90D43">
        <w:rPr>
          <w:rFonts w:ascii="宋体" w:hAnsi="宋体" w:hint="eastAsia"/>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rsidR="00B90D43" w:rsidRDefault="005A460C" w:rsidP="005A460C">
      <w:pPr>
        <w:widowControl/>
        <w:spacing w:line="360" w:lineRule="auto"/>
        <w:ind w:firstLine="420"/>
        <w:contextualSpacing/>
        <w:rPr>
          <w:rFonts w:ascii="宋体" w:hAnsi="宋体" w:hint="eastAsia"/>
        </w:rPr>
      </w:pPr>
      <w:r>
        <w:rPr>
          <w:rFonts w:ascii="宋体" w:hAnsi="宋体" w:hint="eastAsia"/>
        </w:rPr>
        <w:lastRenderedPageBreak/>
        <w:t>（六）</w:t>
      </w:r>
      <w:r w:rsidR="00B90D43">
        <w:rPr>
          <w:rFonts w:ascii="宋体" w:hAnsi="宋体" w:hint="eastAsia"/>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rsidR="00B90D43" w:rsidRDefault="00EC3BAF" w:rsidP="00EC3BAF">
      <w:pPr>
        <w:widowControl/>
        <w:spacing w:line="360" w:lineRule="auto"/>
        <w:ind w:firstLine="420"/>
        <w:contextualSpacing/>
        <w:rPr>
          <w:rFonts w:ascii="宋体" w:hAnsi="宋体" w:hint="eastAsia"/>
        </w:rPr>
      </w:pPr>
      <w:r>
        <w:rPr>
          <w:rFonts w:ascii="宋体" w:hAnsi="宋体" w:hint="eastAsia"/>
        </w:rPr>
        <w:t>（七）</w:t>
      </w:r>
      <w:r w:rsidR="00B90D43">
        <w:rPr>
          <w:rFonts w:ascii="宋体" w:hAnsi="宋体" w:hint="eastAsia"/>
        </w:rPr>
        <w:t>本协议终止前，投资者不得将授权指定账户销户。若发生因投资者注销授权指定账户造成理财计划无法正常兑付的，管理人不承担任何责任。</w:t>
      </w:r>
    </w:p>
    <w:p w:rsidR="00B90D43" w:rsidRDefault="00EC3BAF" w:rsidP="00EC3BAF">
      <w:pPr>
        <w:widowControl/>
        <w:spacing w:line="360" w:lineRule="auto"/>
        <w:ind w:firstLine="420"/>
        <w:contextualSpacing/>
        <w:rPr>
          <w:rFonts w:ascii="宋体" w:hAnsi="宋体" w:hint="eastAsia"/>
        </w:rPr>
      </w:pPr>
      <w:r>
        <w:rPr>
          <w:rFonts w:ascii="宋体" w:hAnsi="宋体" w:hint="eastAsia"/>
        </w:rPr>
        <w:t>（八）</w:t>
      </w:r>
      <w:r w:rsidR="00B90D43">
        <w:rPr>
          <w:rFonts w:ascii="宋体" w:hAnsi="宋体" w:hint="eastAsia"/>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rsidR="00B90D43" w:rsidRDefault="00EC3BAF" w:rsidP="00EC3BAF">
      <w:pPr>
        <w:widowControl/>
        <w:spacing w:line="360" w:lineRule="auto"/>
        <w:ind w:firstLine="420"/>
        <w:contextualSpacing/>
        <w:rPr>
          <w:rFonts w:ascii="宋体" w:hAnsi="宋体" w:hint="eastAsia"/>
        </w:rPr>
      </w:pPr>
      <w:r>
        <w:rPr>
          <w:rFonts w:ascii="宋体" w:hAnsi="宋体" w:hint="eastAsia"/>
        </w:rPr>
        <w:t>（九）</w:t>
      </w:r>
      <w:r w:rsidR="00B90D43">
        <w:rPr>
          <w:rFonts w:ascii="宋体" w:hAnsi="宋体" w:hint="eastAsia"/>
        </w:rPr>
        <w:t xml:space="preserve">投资者进行投资时，应严格遵守反洗钱相关法规的规定，切实履行反洗钱及反恐怖融资义务。 </w:t>
      </w:r>
    </w:p>
    <w:p w:rsidR="00B90D43" w:rsidRDefault="00B90D43">
      <w:pPr>
        <w:spacing w:line="360" w:lineRule="auto"/>
        <w:ind w:left="482"/>
        <w:rPr>
          <w:rFonts w:hint="eastAsia"/>
          <w:b/>
          <w:bCs/>
        </w:rPr>
      </w:pPr>
      <w:r>
        <w:rPr>
          <w:b/>
          <w:bCs/>
        </w:rPr>
        <w:t xml:space="preserve"> </w:t>
      </w:r>
    </w:p>
    <w:p w:rsidR="00B90D43" w:rsidRDefault="00EC3BAF" w:rsidP="00EC3BAF">
      <w:pPr>
        <w:spacing w:line="360" w:lineRule="auto"/>
        <w:ind w:left="422"/>
        <w:rPr>
          <w:rFonts w:ascii="宋体" w:hAnsi="宋体"/>
          <w:b/>
          <w:bCs/>
        </w:rPr>
      </w:pPr>
      <w:r>
        <w:rPr>
          <w:rFonts w:ascii="宋体" w:hAnsi="宋体" w:hint="eastAsia"/>
          <w:b/>
          <w:bCs/>
        </w:rPr>
        <w:t xml:space="preserve">第三条 </w:t>
      </w:r>
      <w:r w:rsidR="00B90D43">
        <w:rPr>
          <w:rFonts w:ascii="宋体" w:hAnsi="宋体" w:hint="eastAsia"/>
          <w:b/>
          <w:bCs/>
        </w:rPr>
        <w:t>管理人权利与义务</w:t>
      </w:r>
    </w:p>
    <w:p w:rsidR="00B90D43" w:rsidRDefault="006C390E" w:rsidP="006C390E">
      <w:pPr>
        <w:widowControl/>
        <w:spacing w:line="360" w:lineRule="auto"/>
        <w:ind w:left="420"/>
        <w:contextualSpacing/>
        <w:rPr>
          <w:rFonts w:ascii="宋体" w:hAnsi="宋体" w:hint="eastAsia"/>
        </w:rPr>
      </w:pPr>
      <w:r>
        <w:rPr>
          <w:rFonts w:ascii="宋体" w:hAnsi="宋体" w:hint="eastAsia"/>
        </w:rPr>
        <w:t>（一）</w:t>
      </w:r>
      <w:r w:rsidR="00B90D43">
        <w:rPr>
          <w:rFonts w:ascii="宋体" w:hAnsi="宋体" w:hint="eastAsia"/>
        </w:rPr>
        <w:t xml:space="preserve">管理人应当诚实守信、勤勉尽责地履行受人之托、代人理财职责。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（二）</w:t>
      </w:r>
      <w:r w:rsidR="00B90D43">
        <w:rPr>
          <w:rFonts w:ascii="宋体" w:hAnsi="宋体" w:hint="eastAsia"/>
        </w:rPr>
        <w:t xml:space="preserve">管理人应当按照理财计划销售文件的约定收取管理费用、确定收益分配方案、向投资者分配收益。 </w:t>
      </w:r>
    </w:p>
    <w:p w:rsidR="00B90D43" w:rsidRDefault="006C390E" w:rsidP="006C390E">
      <w:pPr>
        <w:widowControl/>
        <w:spacing w:line="360" w:lineRule="auto"/>
        <w:ind w:left="420"/>
        <w:contextualSpacing/>
        <w:rPr>
          <w:rFonts w:ascii="宋体" w:hAnsi="宋体" w:hint="eastAsia"/>
        </w:rPr>
      </w:pPr>
      <w:r>
        <w:rPr>
          <w:rFonts w:ascii="宋体" w:hAnsi="宋体" w:hint="eastAsia"/>
        </w:rPr>
        <w:t>（三）</w:t>
      </w:r>
      <w:r w:rsidR="00B90D43">
        <w:rPr>
          <w:rFonts w:ascii="宋体" w:hAnsi="宋体" w:hint="eastAsia"/>
        </w:rPr>
        <w:t xml:space="preserve">管理人应当按照理财计划销售文件的约定履行风险揭示及信息披露义务。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（四）</w:t>
      </w:r>
      <w:r w:rsidR="00B90D43">
        <w:rPr>
          <w:rFonts w:ascii="宋体" w:hAnsi="宋体" w:hint="eastAsia"/>
        </w:rPr>
        <w:t xml:space="preserve">管理人应当确保理财业务与其他业务相分离，理财计划之间相分离，理财业务操作与其他业务操作相分离。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（五）</w:t>
      </w:r>
      <w:r w:rsidR="00B90D43">
        <w:rPr>
          <w:rFonts w:ascii="宋体" w:hAnsi="宋体" w:hint="eastAsia"/>
        </w:rPr>
        <w:t>管理人不得将理财计划财产归入其自有资产，因依法解散、被依法撤销或者被依法宣告破产等原因进行清算的，理财计划财产不属于其清算财产。</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（六）</w:t>
      </w:r>
      <w:r w:rsidR="00B90D43">
        <w:rPr>
          <w:rFonts w:ascii="宋体" w:hAnsi="宋体" w:hint="eastAsia"/>
        </w:rPr>
        <w:t xml:space="preserve">管理人应当选择具有证券投资基金托管业务资格的金融机构、银行业理财登记托管机构或者国务院银行业监督管理机构认可的其他机构托管理财计划。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（七）</w:t>
      </w:r>
      <w:r w:rsidR="00B90D43">
        <w:rPr>
          <w:rFonts w:ascii="宋体" w:hAnsi="宋体" w:hint="eastAsia"/>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（八）</w:t>
      </w:r>
      <w:r w:rsidR="00B90D43">
        <w:rPr>
          <w:rFonts w:ascii="宋体" w:hAnsi="宋体" w:hint="eastAsia"/>
        </w:rPr>
        <w:t>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w:t>
      </w:r>
      <w:proofErr w:type="gramStart"/>
      <w:r w:rsidR="00B90D43">
        <w:rPr>
          <w:rFonts w:ascii="宋体" w:hAnsi="宋体" w:hint="eastAsia"/>
        </w:rPr>
        <w:t>方明确</w:t>
      </w:r>
      <w:proofErr w:type="gramEnd"/>
      <w:r w:rsidR="00B90D43">
        <w:rPr>
          <w:rFonts w:ascii="宋体" w:hAnsi="宋体" w:hint="eastAsia"/>
        </w:rPr>
        <w:t xml:space="preserve">其保护投资者信息的职责并要求其承担相应保密义务。 </w:t>
      </w:r>
    </w:p>
    <w:p w:rsidR="00B90D43" w:rsidRDefault="006C390E" w:rsidP="006C390E">
      <w:pPr>
        <w:widowControl/>
        <w:spacing w:line="360" w:lineRule="auto"/>
        <w:ind w:firstLine="420"/>
        <w:contextualSpacing/>
        <w:rPr>
          <w:rFonts w:ascii="宋体" w:hAnsi="宋体" w:hint="eastAsia"/>
        </w:rPr>
      </w:pPr>
      <w:r>
        <w:rPr>
          <w:rFonts w:ascii="宋体" w:hAnsi="宋体" w:hint="eastAsia"/>
        </w:rPr>
        <w:lastRenderedPageBreak/>
        <w:t>（九）</w:t>
      </w:r>
      <w:r w:rsidR="00B90D43">
        <w:rPr>
          <w:rFonts w:ascii="宋体" w:hAnsi="宋体" w:hint="eastAsia"/>
        </w:rPr>
        <w:t>管理人在此特别披露：若理财计划管理人的关联</w:t>
      </w:r>
      <w:proofErr w:type="gramStart"/>
      <w:r w:rsidR="00B90D43">
        <w:rPr>
          <w:rFonts w:ascii="宋体" w:hAnsi="宋体" w:hint="eastAsia"/>
        </w:rPr>
        <w:t>方担任</w:t>
      </w:r>
      <w:proofErr w:type="gramEnd"/>
      <w:r w:rsidR="00B90D43">
        <w:rPr>
          <w:rFonts w:ascii="宋体" w:hAnsi="宋体" w:hint="eastAsia"/>
        </w:rPr>
        <w:t xml:space="preserve">理财计划的代销机构、托管人、合作机构的，理财计划管理人将按照法律法规和监管要求履行相应程序，投资者认购或申购理财计划即视为同意该等安排。 </w:t>
      </w:r>
    </w:p>
    <w:p w:rsidR="00B90D43" w:rsidRDefault="00B90D43">
      <w:pPr>
        <w:spacing w:line="360" w:lineRule="auto"/>
        <w:rPr>
          <w:rFonts w:hint="eastAsia"/>
          <w:b/>
          <w:bCs/>
        </w:rPr>
      </w:pPr>
      <w:r>
        <w:rPr>
          <w:b/>
          <w:bCs/>
        </w:rPr>
        <w:t xml:space="preserve"> </w:t>
      </w:r>
    </w:p>
    <w:p w:rsidR="00B90D43" w:rsidRDefault="00EC3BAF" w:rsidP="00EC3BAF">
      <w:pPr>
        <w:spacing w:line="360" w:lineRule="auto"/>
        <w:ind w:left="422"/>
        <w:rPr>
          <w:rFonts w:ascii="宋体" w:hAnsi="宋体"/>
          <w:b/>
          <w:bCs/>
        </w:rPr>
      </w:pPr>
      <w:r>
        <w:rPr>
          <w:rFonts w:ascii="宋体" w:hAnsi="宋体" w:hint="eastAsia"/>
          <w:b/>
          <w:bCs/>
        </w:rPr>
        <w:t xml:space="preserve">第四条 </w:t>
      </w:r>
      <w:r w:rsidR="00B90D43">
        <w:rPr>
          <w:rFonts w:ascii="宋体" w:hAnsi="宋体" w:hint="eastAsia"/>
          <w:b/>
          <w:bCs/>
        </w:rPr>
        <w:t>理财计划认（申）购、赎回及终止</w:t>
      </w:r>
    </w:p>
    <w:p w:rsidR="00B90D43" w:rsidRDefault="006C390E" w:rsidP="006C390E">
      <w:pPr>
        <w:widowControl/>
        <w:spacing w:line="360" w:lineRule="auto"/>
        <w:ind w:left="420"/>
        <w:contextualSpacing/>
        <w:rPr>
          <w:rFonts w:ascii="宋体" w:hAnsi="宋体" w:hint="eastAsia"/>
        </w:rPr>
      </w:pPr>
      <w:r>
        <w:rPr>
          <w:rFonts w:ascii="宋体" w:hAnsi="宋体" w:hint="eastAsia"/>
        </w:rPr>
        <w:t>（一）</w:t>
      </w:r>
      <w:r w:rsidR="00B90D43">
        <w:rPr>
          <w:rFonts w:ascii="宋体" w:hAnsi="宋体" w:hint="eastAsia"/>
        </w:rPr>
        <w:t xml:space="preserve">理财计划认/申购办理流程：参照《投资者权益须知》约定。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（二）</w:t>
      </w:r>
      <w:r w:rsidR="00B90D43">
        <w:rPr>
          <w:rFonts w:ascii="宋体" w:hAnsi="宋体" w:hint="eastAsia"/>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（三）</w:t>
      </w:r>
      <w:r w:rsidR="00B90D43">
        <w:rPr>
          <w:rFonts w:ascii="宋体" w:hAnsi="宋体" w:hint="eastAsia"/>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（四）</w:t>
      </w:r>
      <w:r w:rsidR="00B90D43">
        <w:rPr>
          <w:rFonts w:ascii="宋体" w:hAnsi="宋体" w:hint="eastAsia"/>
        </w:rPr>
        <w:t xml:space="preserve">理财计划投资品种、投资起点金额、收益支付方式：参照对应期次的《理财计划产品说明书》中的条款约定。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（五）</w:t>
      </w:r>
      <w:r w:rsidR="00B90D43">
        <w:rPr>
          <w:rFonts w:ascii="宋体" w:hAnsi="宋体" w:hint="eastAsia"/>
        </w:rPr>
        <w:t>理财计划赎回/终止兑付：在正常情况下，管理人和代销机构将按照对应期次的《理财计划产品说明书》相关约定，将兑付款项划入投资者授权杭银</w:t>
      </w:r>
      <w:proofErr w:type="gramStart"/>
      <w:r w:rsidR="00B90D43">
        <w:rPr>
          <w:rFonts w:ascii="宋体" w:hAnsi="宋体" w:hint="eastAsia"/>
        </w:rPr>
        <w:t>理财理财</w:t>
      </w:r>
      <w:proofErr w:type="gramEnd"/>
      <w:r w:rsidR="00B90D43">
        <w:rPr>
          <w:rFonts w:ascii="宋体" w:hAnsi="宋体" w:hint="eastAsia"/>
        </w:rPr>
        <w:t>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（六）</w:t>
      </w:r>
      <w:r w:rsidR="00B90D43">
        <w:rPr>
          <w:rFonts w:ascii="宋体" w:hAnsi="宋体" w:hint="eastAsia"/>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rsidR="00B90D43" w:rsidRDefault="00B90D43">
      <w:pPr>
        <w:spacing w:line="360" w:lineRule="auto"/>
        <w:ind w:left="482"/>
        <w:rPr>
          <w:rFonts w:hint="eastAsia"/>
          <w:b/>
          <w:bCs/>
        </w:rPr>
      </w:pPr>
      <w:r>
        <w:rPr>
          <w:b/>
          <w:bCs/>
        </w:rPr>
        <w:t xml:space="preserve"> </w:t>
      </w:r>
    </w:p>
    <w:p w:rsidR="00B90D43" w:rsidRDefault="00EC3BAF" w:rsidP="00EC3BAF">
      <w:pPr>
        <w:spacing w:line="360" w:lineRule="auto"/>
        <w:ind w:firstLine="420"/>
        <w:rPr>
          <w:rFonts w:ascii="宋体" w:hAnsi="宋体"/>
          <w:b/>
          <w:bCs/>
        </w:rPr>
      </w:pPr>
      <w:r>
        <w:rPr>
          <w:rFonts w:ascii="宋体" w:hAnsi="宋体" w:hint="eastAsia"/>
          <w:b/>
          <w:bCs/>
        </w:rPr>
        <w:t xml:space="preserve">第五条 </w:t>
      </w:r>
      <w:r w:rsidR="00B90D43">
        <w:rPr>
          <w:rFonts w:ascii="宋体" w:hAnsi="宋体" w:hint="eastAsia"/>
          <w:b/>
          <w:bCs/>
        </w:rPr>
        <w:t>税收处理</w:t>
      </w:r>
    </w:p>
    <w:p w:rsidR="00B90D43" w:rsidRDefault="00B90D43">
      <w:pPr>
        <w:widowControl/>
        <w:spacing w:line="360" w:lineRule="auto"/>
        <w:ind w:firstLineChars="200" w:firstLine="420"/>
        <w:contextualSpacing/>
        <w:rPr>
          <w:rFonts w:ascii="宋体" w:hAnsi="宋体" w:hint="eastAsia"/>
        </w:rPr>
      </w:pPr>
      <w:r>
        <w:rPr>
          <w:rFonts w:ascii="宋体" w:hAnsi="宋体" w:hint="eastAsia"/>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rsidR="00B90D43" w:rsidRDefault="00B90D43">
      <w:pPr>
        <w:widowControl/>
        <w:spacing w:line="360" w:lineRule="auto"/>
        <w:ind w:firstLineChars="200" w:firstLine="420"/>
        <w:contextualSpacing/>
        <w:rPr>
          <w:rFonts w:ascii="宋体" w:hAnsi="宋体" w:hint="eastAsia"/>
        </w:rPr>
      </w:pPr>
      <w:r>
        <w:rPr>
          <w:rFonts w:ascii="宋体" w:hAnsi="宋体" w:hint="eastAsia"/>
        </w:rPr>
        <w:lastRenderedPageBreak/>
        <w:t xml:space="preserve"> </w:t>
      </w:r>
    </w:p>
    <w:p w:rsidR="00B90D43" w:rsidRDefault="00EC3BAF" w:rsidP="00EC3BAF">
      <w:pPr>
        <w:spacing w:line="360" w:lineRule="auto"/>
        <w:ind w:firstLine="420"/>
        <w:rPr>
          <w:rFonts w:ascii="宋体" w:hAnsi="宋体" w:hint="eastAsia"/>
          <w:b/>
          <w:bCs/>
        </w:rPr>
      </w:pPr>
      <w:r>
        <w:rPr>
          <w:rFonts w:ascii="宋体" w:hAnsi="宋体" w:hint="eastAsia"/>
          <w:b/>
          <w:bCs/>
        </w:rPr>
        <w:t xml:space="preserve">第六条 </w:t>
      </w:r>
      <w:r w:rsidR="00B90D43">
        <w:rPr>
          <w:rFonts w:ascii="宋体" w:hAnsi="宋体" w:hint="eastAsia"/>
          <w:b/>
          <w:bCs/>
        </w:rPr>
        <w:t>违约责任及免责条款</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（一）</w:t>
      </w:r>
      <w:r w:rsidR="00B90D43">
        <w:rPr>
          <w:rFonts w:ascii="宋体" w:hAnsi="宋体" w:hint="eastAsia"/>
        </w:rPr>
        <w:t>若因投资人原因导致司法或行政机构采取强制措施对其理财本金、收益进行部分或全部被扣划，均视投资者本人就全部理财本金违约进行了提前支取，本合同自动终止。因提前终止而产生的损失及相关费用由投资者承担。本合同前述情况终止的，理财本金不计付支取日前的理财收益，也不计</w:t>
      </w:r>
      <w:proofErr w:type="gramStart"/>
      <w:r w:rsidR="00B90D43">
        <w:rPr>
          <w:rFonts w:ascii="宋体" w:hAnsi="宋体" w:hint="eastAsia"/>
        </w:rPr>
        <w:t>付存款</w:t>
      </w:r>
      <w:proofErr w:type="gramEnd"/>
      <w:r w:rsidR="00B90D43">
        <w:rPr>
          <w:rFonts w:ascii="宋体" w:hAnsi="宋体" w:hint="eastAsia"/>
        </w:rPr>
        <w:t>利息。</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（二）</w:t>
      </w:r>
      <w:r w:rsidR="00B90D43">
        <w:rPr>
          <w:rFonts w:ascii="宋体" w:hAnsi="宋体" w:hint="eastAsia"/>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（三）</w:t>
      </w:r>
      <w:r w:rsidR="00B90D43">
        <w:rPr>
          <w:rFonts w:ascii="宋体" w:hAnsi="宋体" w:hint="eastAsia"/>
        </w:rPr>
        <w:t>若由于管理人过错导致理财计划资产发生损失，管理人应按其过错承担赔偿责任，管理人赔偿的款项计入本理财计划的资产和收益，由所有投资者按理财本金比例分配。</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（四）</w:t>
      </w:r>
      <w:r w:rsidR="00B90D43">
        <w:rPr>
          <w:rFonts w:ascii="宋体" w:hAnsi="宋体" w:hint="eastAsia"/>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（五）</w:t>
      </w:r>
      <w:r w:rsidR="00B90D43">
        <w:rPr>
          <w:rFonts w:ascii="宋体" w:hAnsi="宋体" w:hint="eastAsia"/>
        </w:rPr>
        <w:t>因国家有关法律、法规、规章、政策的修改或新的法律、法规、规章、政策颁布以及紧急措施的出台导致的风险及损失，管理人不承担责任。</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（六）</w:t>
      </w:r>
      <w:r w:rsidR="00B90D43">
        <w:rPr>
          <w:rFonts w:ascii="宋体" w:hAnsi="宋体" w:hint="eastAsia"/>
        </w:rPr>
        <w:t>管理人若严格按照产品说明书相关规定进行投资运作，给投资者造成损失的，应免除管理人责任。</w:t>
      </w:r>
    </w:p>
    <w:p w:rsidR="00B90D43" w:rsidRDefault="00B90D43">
      <w:pPr>
        <w:widowControl/>
        <w:spacing w:line="360" w:lineRule="auto"/>
        <w:contextualSpacing/>
        <w:rPr>
          <w:rFonts w:ascii="宋体" w:hAnsi="宋体" w:hint="eastAsia"/>
        </w:rPr>
      </w:pPr>
      <w:r>
        <w:rPr>
          <w:rFonts w:ascii="宋体" w:hAnsi="宋体" w:hint="eastAsia"/>
        </w:rPr>
        <w:t xml:space="preserve"> </w:t>
      </w:r>
    </w:p>
    <w:p w:rsidR="00B90D43" w:rsidRDefault="00EC3BAF" w:rsidP="00EC3BAF">
      <w:pPr>
        <w:spacing w:line="360" w:lineRule="auto"/>
        <w:ind w:firstLine="420"/>
        <w:rPr>
          <w:rFonts w:hint="eastAsia"/>
          <w:b/>
          <w:bCs/>
        </w:rPr>
      </w:pPr>
      <w:r>
        <w:rPr>
          <w:rFonts w:ascii="宋体" w:hAnsi="宋体" w:hint="eastAsia"/>
          <w:b/>
          <w:bCs/>
        </w:rPr>
        <w:t xml:space="preserve">第七条 </w:t>
      </w:r>
      <w:r w:rsidR="00B90D43">
        <w:rPr>
          <w:rFonts w:ascii="宋体" w:hAnsi="宋体" w:hint="eastAsia"/>
          <w:b/>
          <w:bCs/>
        </w:rPr>
        <w:t>适用法律与争议解决</w:t>
      </w:r>
    </w:p>
    <w:p w:rsidR="00B90D43" w:rsidRDefault="00B90D43">
      <w:pPr>
        <w:widowControl/>
        <w:spacing w:line="360" w:lineRule="auto"/>
        <w:ind w:firstLineChars="200" w:firstLine="420"/>
        <w:contextualSpacing/>
        <w:rPr>
          <w:rFonts w:ascii="宋体" w:hAnsi="宋体"/>
        </w:rPr>
      </w:pPr>
      <w:r>
        <w:rPr>
          <w:rFonts w:ascii="宋体" w:hAnsi="宋体" w:hint="eastAsia"/>
        </w:rPr>
        <w:t>本合同适用</w:t>
      </w:r>
      <w:r>
        <w:rPr>
          <w:rFonts w:ascii="宋体" w:hAnsi="宋体" w:hint="eastAsia"/>
          <w:color w:val="000000"/>
        </w:rPr>
        <w:t>中华人民共和国（仅为明确本合同适用法律规则，不含香港特别行政区、澳门特别行政区及中国台湾地区）</w:t>
      </w:r>
      <w:r>
        <w:rPr>
          <w:rFonts w:ascii="宋体" w:hAnsi="宋体" w:hint="eastAsia"/>
        </w:rPr>
        <w:t>的法律和行政法规。本合同项下的及与之有关的一切争议，投资者与管理人双方应首先协商解决，协商不成的，应提交管理人所在地人民法院司法裁决。诉讼期间，未涉及争议的条款仍需继续履行。</w:t>
      </w:r>
    </w:p>
    <w:p w:rsidR="00B90D43" w:rsidRDefault="00B90D43">
      <w:pPr>
        <w:spacing w:line="360" w:lineRule="auto"/>
        <w:ind w:left="482"/>
        <w:rPr>
          <w:rFonts w:hint="eastAsia"/>
          <w:b/>
          <w:bCs/>
        </w:rPr>
      </w:pPr>
      <w:r>
        <w:rPr>
          <w:b/>
          <w:bCs/>
        </w:rPr>
        <w:t xml:space="preserve"> </w:t>
      </w:r>
    </w:p>
    <w:p w:rsidR="00B90D43" w:rsidRDefault="00EC3BAF" w:rsidP="00EC3BAF">
      <w:pPr>
        <w:spacing w:line="360" w:lineRule="auto"/>
        <w:ind w:firstLine="420"/>
        <w:rPr>
          <w:rFonts w:ascii="宋体" w:hAnsi="宋体"/>
          <w:b/>
          <w:bCs/>
        </w:rPr>
      </w:pPr>
      <w:r>
        <w:rPr>
          <w:rFonts w:ascii="宋体" w:hAnsi="宋体" w:hint="eastAsia"/>
          <w:b/>
          <w:bCs/>
        </w:rPr>
        <w:t xml:space="preserve">第八条 </w:t>
      </w:r>
      <w:r w:rsidR="00B90D43">
        <w:rPr>
          <w:rFonts w:ascii="宋体" w:hAnsi="宋体" w:hint="eastAsia"/>
          <w:b/>
          <w:bCs/>
        </w:rPr>
        <w:t>协议生效和终止</w:t>
      </w:r>
    </w:p>
    <w:p w:rsidR="00B90D43" w:rsidRDefault="006C390E" w:rsidP="006C390E">
      <w:pPr>
        <w:widowControl/>
        <w:spacing w:line="360" w:lineRule="auto"/>
        <w:ind w:left="420"/>
        <w:contextualSpacing/>
        <w:rPr>
          <w:rFonts w:ascii="宋体" w:hAnsi="宋体" w:hint="eastAsia"/>
        </w:rPr>
      </w:pPr>
      <w:r>
        <w:rPr>
          <w:rFonts w:ascii="宋体" w:hAnsi="宋体" w:hint="eastAsia"/>
        </w:rPr>
        <w:t>（一）</w:t>
      </w:r>
      <w:r w:rsidR="00B90D43">
        <w:rPr>
          <w:rFonts w:ascii="宋体" w:hAnsi="宋体" w:hint="eastAsia"/>
        </w:rPr>
        <w:t xml:space="preserve">投资者和管理人双方认可本协议可以纸质或电子数据等形式提交、订立或确认。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（二）</w:t>
      </w:r>
      <w:r w:rsidR="00B90D43">
        <w:rPr>
          <w:rFonts w:ascii="宋体" w:hAnsi="宋体" w:hint="eastAsia"/>
        </w:rPr>
        <w:t xml:space="preserve">本协议书以纸质书面形式订立的，自投资者签字和销售机构代表管理人签署盖章之后立即生效。协议一式贰份，投资者和管理人双方各执壹份，具有同等法律效力。 </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（三）</w:t>
      </w:r>
      <w:r w:rsidR="00B90D43">
        <w:rPr>
          <w:rFonts w:ascii="宋体" w:hAnsi="宋体" w:hint="eastAsia"/>
        </w:rPr>
        <w:t>本协议书以数据电文形式订立的，投资者在销售机构的电子银行（包括但不限于网上银行、手机银行或监管机构认可的其他销售渠道）点击购买理财计划，投资者使用的身份认证要素或其他安全措施</w:t>
      </w:r>
      <w:r w:rsidR="00B90D43">
        <w:rPr>
          <w:rFonts w:ascii="宋体" w:hAnsi="宋体" w:hint="eastAsia"/>
        </w:rPr>
        <w:lastRenderedPageBreak/>
        <w:t>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rsidR="00B90D43" w:rsidRDefault="006C390E" w:rsidP="006C390E">
      <w:pPr>
        <w:widowControl/>
        <w:spacing w:line="360" w:lineRule="auto"/>
        <w:ind w:firstLine="420"/>
        <w:contextualSpacing/>
        <w:rPr>
          <w:rFonts w:ascii="宋体" w:hAnsi="宋体" w:hint="eastAsia"/>
        </w:rPr>
      </w:pPr>
      <w:r>
        <w:rPr>
          <w:rFonts w:ascii="宋体" w:hAnsi="宋体" w:hint="eastAsia"/>
        </w:rPr>
        <w:t>（四）</w:t>
      </w:r>
      <w:r w:rsidR="00B90D43">
        <w:rPr>
          <w:rFonts w:ascii="宋体" w:hAnsi="宋体" w:hint="eastAsia"/>
        </w:rPr>
        <w:t>投资者和管理人双方在本协议及对应期次的《理财计划产品说明书》项下权利义务履行完毕之日，本协议自动终止。</w:t>
      </w:r>
    </w:p>
    <w:p w:rsidR="00B90D43" w:rsidRDefault="00B90D43">
      <w:pPr>
        <w:widowControl/>
        <w:spacing w:line="360" w:lineRule="auto"/>
        <w:ind w:left="6"/>
        <w:contextualSpacing/>
        <w:rPr>
          <w:rFonts w:ascii="宋体" w:hAnsi="宋体" w:hint="eastAsia"/>
        </w:rPr>
      </w:pPr>
      <w:r>
        <w:rPr>
          <w:rFonts w:ascii="宋体" w:hAnsi="宋体" w:hint="eastAsia"/>
        </w:rPr>
        <w:t xml:space="preserve"> </w:t>
      </w:r>
    </w:p>
    <w:p w:rsidR="00B90D43" w:rsidRDefault="00EC3BAF" w:rsidP="00EC3BAF">
      <w:pPr>
        <w:spacing w:line="360" w:lineRule="auto"/>
        <w:ind w:firstLine="420"/>
        <w:rPr>
          <w:rFonts w:hint="eastAsia"/>
          <w:b/>
          <w:bCs/>
        </w:rPr>
      </w:pPr>
      <w:r>
        <w:rPr>
          <w:rFonts w:ascii="宋体" w:hAnsi="宋体" w:hint="eastAsia"/>
          <w:b/>
          <w:bCs/>
        </w:rPr>
        <w:t xml:space="preserve">第九条 </w:t>
      </w:r>
      <w:r w:rsidR="00B90D43">
        <w:rPr>
          <w:rFonts w:ascii="宋体" w:hAnsi="宋体" w:hint="eastAsia"/>
          <w:b/>
          <w:bCs/>
        </w:rPr>
        <w:t>附则</w:t>
      </w:r>
    </w:p>
    <w:p w:rsidR="00B90D43" w:rsidRDefault="006C390E" w:rsidP="006C390E">
      <w:pPr>
        <w:widowControl/>
        <w:spacing w:line="360" w:lineRule="auto"/>
        <w:ind w:firstLine="420"/>
        <w:contextualSpacing/>
        <w:rPr>
          <w:rFonts w:ascii="宋体" w:hAnsi="宋体"/>
        </w:rPr>
      </w:pPr>
      <w:r>
        <w:rPr>
          <w:rFonts w:ascii="宋体" w:hAnsi="宋体" w:hint="eastAsia"/>
        </w:rPr>
        <w:t>（一）</w:t>
      </w:r>
      <w:r w:rsidR="00B90D43">
        <w:rPr>
          <w:rFonts w:ascii="宋体" w:hAnsi="宋体" w:hint="eastAsia"/>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（二）</w:t>
      </w:r>
      <w:r w:rsidR="00B90D43">
        <w:rPr>
          <w:rFonts w:ascii="宋体" w:hAnsi="宋体" w:hint="eastAsia"/>
        </w:rPr>
        <w:t>如果由于任何原因使本合同下的任何条款或内容成为无效或被依法撤销，本合同其他条款或内容的合法性、有效性和</w:t>
      </w:r>
      <w:proofErr w:type="gramStart"/>
      <w:r w:rsidR="00B90D43">
        <w:rPr>
          <w:rFonts w:ascii="宋体" w:hAnsi="宋体" w:hint="eastAsia"/>
        </w:rPr>
        <w:t>可</w:t>
      </w:r>
      <w:proofErr w:type="gramEnd"/>
      <w:r w:rsidR="00B90D43">
        <w:rPr>
          <w:rFonts w:ascii="宋体" w:hAnsi="宋体" w:hint="eastAsia"/>
        </w:rPr>
        <w:t>执行性不受影响。</w:t>
      </w:r>
    </w:p>
    <w:p w:rsidR="00B90D43" w:rsidRDefault="006C390E" w:rsidP="006C390E">
      <w:pPr>
        <w:widowControl/>
        <w:spacing w:line="360" w:lineRule="auto"/>
        <w:ind w:firstLine="420"/>
        <w:contextualSpacing/>
        <w:rPr>
          <w:rFonts w:ascii="宋体" w:hAnsi="宋体" w:hint="eastAsia"/>
        </w:rPr>
      </w:pPr>
      <w:r>
        <w:rPr>
          <w:rFonts w:ascii="宋体" w:hAnsi="宋体" w:hint="eastAsia"/>
        </w:rPr>
        <w:t>（三）</w:t>
      </w:r>
      <w:r w:rsidR="00B90D43">
        <w:rPr>
          <w:rFonts w:ascii="宋体" w:hAnsi="宋体" w:hint="eastAsia"/>
        </w:rPr>
        <w:t>在理财计划存续期内，如因监管政策或法律法规发生变化，在不损害投资者利益的前提下，管理人有权单方对理财计划合同进行修订。</w:t>
      </w:r>
    </w:p>
    <w:p w:rsidR="00B90D43" w:rsidRDefault="00B90D43">
      <w:pPr>
        <w:spacing w:line="360" w:lineRule="auto"/>
        <w:rPr>
          <w:rFonts w:ascii="宋体" w:hAnsi="宋体" w:hint="eastAsia"/>
          <w:color w:val="000000"/>
        </w:rPr>
      </w:pPr>
      <w:r>
        <w:rPr>
          <w:rFonts w:ascii="宋体" w:hAnsi="宋体" w:hint="eastAsia"/>
          <w:color w:val="000000"/>
        </w:rPr>
        <w:t xml:space="preserve"> </w:t>
      </w:r>
    </w:p>
    <w:p w:rsidR="00B90D43" w:rsidRDefault="00B90D43">
      <w:pPr>
        <w:spacing w:line="360" w:lineRule="auto"/>
        <w:rPr>
          <w:rFonts w:ascii="宋体" w:hAnsi="宋体" w:hint="eastAsia"/>
          <w:color w:val="000000"/>
        </w:rPr>
      </w:pPr>
      <w:r>
        <w:rPr>
          <w:rFonts w:ascii="宋体" w:hAnsi="宋体" w:hint="eastAsia"/>
          <w:color w:val="000000"/>
        </w:rPr>
        <w:t xml:space="preserve"> </w:t>
      </w:r>
    </w:p>
    <w:p w:rsidR="00B90D43" w:rsidRDefault="00B90D43">
      <w:pPr>
        <w:pStyle w:val="a8"/>
        <w:widowControl/>
        <w:spacing w:line="360" w:lineRule="auto"/>
        <w:jc w:val="right"/>
        <w:rPr>
          <w:rFonts w:ascii="宋体" w:hAnsi="宋体"/>
          <w:kern w:val="0"/>
          <w:sz w:val="21"/>
          <w:szCs w:val="21"/>
        </w:rPr>
      </w:pPr>
      <w:r>
        <w:rPr>
          <w:rFonts w:ascii="宋体" w:hAnsi="宋体" w:hint="eastAsia"/>
          <w:kern w:val="0"/>
          <w:sz w:val="21"/>
          <w:szCs w:val="21"/>
        </w:rPr>
        <w:t>杭银理财有限责任公司</w:t>
      </w:r>
    </w:p>
    <w:p w:rsidR="00B90D43" w:rsidRDefault="00B90D43" w:rsidP="00CA6440">
      <w:pPr>
        <w:rPr>
          <w:rFonts w:ascii="宋体" w:hAnsi="Wingdings" w:cs="宋体" w:hint="eastAsia"/>
          <w:color w:val="000000"/>
          <w:kern w:val="0"/>
        </w:rPr>
      </w:pPr>
    </w:p>
    <w:p w:rsidR="00B90D43" w:rsidRDefault="00B90D43"/>
    <w:p>
      <w:r>
        <w:br w:type="page"/>
      </w:r>
    </w:p>
    <w:p w:rsidR="00B90D43" w:rsidRDefault="00B90D43">
      <w:pPr>
        <w:jc w:val="center"/>
        <w:rPr>
          <w:rFonts w:cs="黑体"/>
          <w:b/>
          <w:bCs/>
          <w:sz w:val="44"/>
          <w:szCs w:val="44"/>
        </w:rPr>
      </w:pPr>
      <w:bookmarkStart w:id="0" w:name="_GoBack"/>
      <w:bookmarkEnd w:id="0"/>
      <w:r>
        <w:rPr>
          <w:rFonts w:ascii="宋体" w:hAnsi="宋体" w:hint="eastAsia"/>
          <w:b/>
          <w:bCs/>
          <w:sz w:val="32"/>
          <w:szCs w:val="32"/>
        </w:rPr>
        <w:t>杭银理财理财计划销售协议书</w:t>
      </w:r>
    </w:p>
    <w:p w:rsidR="00B90D43" w:rsidRDefault="00B90D43">
      <w:pPr>
        <w:jc w:val="center"/>
        <w:rPr>
          <w:rFonts w:ascii="宋体" w:hAnsi="宋体"/>
        </w:rPr>
      </w:pPr>
      <w:r>
        <w:rPr>
          <w:rFonts w:ascii="宋体" w:hAnsi="宋体" w:hint="eastAsia"/>
          <w:szCs w:val="21"/>
        </w:rPr>
        <w:t>（202101版）</w:t>
      </w:r>
    </w:p>
    <w:p w:rsidR="00B90D43" w:rsidRDefault="00B90D43">
      <w:pPr>
        <w:autoSpaceDE w:val="0"/>
        <w:spacing w:line="360" w:lineRule="auto"/>
        <w:jc w:val="center"/>
      </w:pPr>
    </w:p>
    <w:p w:rsidR="00B90D43" w:rsidRDefault="00B90D43">
      <w:pPr>
        <w:autoSpaceDE w:val="0"/>
        <w:spacing w:line="360" w:lineRule="auto"/>
        <w:ind w:firstLineChars="200" w:firstLine="422"/>
        <w:rPr>
          <w:rFonts w:ascii="宋体" w:hAnsi="宋体" w:cs="黑体"/>
          <w:b/>
          <w:bCs/>
        </w:rPr>
      </w:pPr>
      <w:r>
        <w:rPr>
          <w:rFonts w:ascii="宋体" w:hAnsi="宋体" w:cs="黑体" w:hint="eastAsia"/>
          <w:b/>
          <w:bCs/>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rsidR="00B90D43" w:rsidRDefault="00B90D43">
      <w:pPr>
        <w:autoSpaceDE w:val="0"/>
        <w:spacing w:line="360" w:lineRule="auto"/>
        <w:ind w:firstLineChars="200" w:firstLine="422"/>
        <w:rPr>
          <w:rFonts w:ascii="宋体" w:hAnsi="宋体" w:cs="黑体"/>
          <w:b/>
          <w:bCs/>
        </w:rPr>
      </w:pPr>
      <w:r>
        <w:rPr>
          <w:rFonts w:ascii="宋体" w:hAnsi="宋体" w:cs="黑体" w:hint="eastAsia"/>
          <w:b/>
          <w:bCs/>
        </w:rPr>
        <w:t>理财非存款、产品有风险、投资须谨慎，理财计划过往业绩不代表其未来表现，不等于理财计划实际收益。</w:t>
      </w:r>
    </w:p>
    <w:p w:rsidR="00B90D43" w:rsidRDefault="00B90D43">
      <w:pPr>
        <w:widowControl/>
        <w:autoSpaceDE w:val="0"/>
        <w:spacing w:line="360" w:lineRule="auto"/>
        <w:ind w:firstLineChars="200" w:firstLine="420"/>
        <w:rPr>
          <w:rFonts w:ascii="宋体" w:hAnsi="宋体" w:cs="黑体"/>
        </w:rPr>
      </w:pPr>
      <w:r>
        <w:rPr>
          <w:rFonts w:ascii="宋体" w:hAnsi="宋体" w:cs="黑体" w:hint="eastAsia"/>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rsidR="00B90D43" w:rsidRDefault="00B90D43">
      <w:pPr>
        <w:widowControl/>
        <w:autoSpaceDE w:val="0"/>
        <w:spacing w:line="360" w:lineRule="auto"/>
        <w:ind w:firstLineChars="200" w:firstLine="420"/>
        <w:rPr>
          <w:rFonts w:ascii="宋体" w:hAnsi="宋体" w:cs="黑体"/>
        </w:rPr>
      </w:pPr>
      <w:r>
        <w:rPr>
          <w:rFonts w:ascii="宋体" w:hAnsi="宋体" w:cs="黑体" w:hint="eastAsia"/>
        </w:rPr>
        <w:t>投资者与代理销售机构经平等友好协商，本着自愿、诚实信用原则，就投资者购买代理销售机构代理销售的理财计划有关事宜达成如下协议（以下简称“本协议”）：</w:t>
      </w:r>
    </w:p>
    <w:p w:rsidR="00B90D43" w:rsidRDefault="00B90D43">
      <w:pPr>
        <w:widowControl/>
        <w:autoSpaceDE w:val="0"/>
        <w:spacing w:line="360" w:lineRule="auto"/>
        <w:ind w:firstLineChars="200" w:firstLine="420"/>
        <w:rPr>
          <w:rFonts w:ascii="宋体" w:hAnsi="宋体" w:cs="黑体"/>
        </w:rPr>
      </w:pPr>
    </w:p>
    <w:p w:rsidR="00B90D43" w:rsidRDefault="00662ADB" w:rsidP="00662ADB">
      <w:pPr>
        <w:widowControl/>
        <w:autoSpaceDE w:val="0"/>
        <w:spacing w:line="360" w:lineRule="auto"/>
        <w:ind w:left="422"/>
        <w:rPr>
          <w:rFonts w:ascii="宋体" w:hAnsi="宋体" w:cs="黑体"/>
          <w:b/>
          <w:bCs/>
        </w:rPr>
      </w:pPr>
      <w:r>
        <w:rPr>
          <w:rFonts w:ascii="宋体" w:hAnsi="宋体" w:cs="黑体" w:hint="eastAsia"/>
          <w:b/>
          <w:bCs/>
        </w:rPr>
        <w:t xml:space="preserve">第一条 </w:t>
      </w:r>
      <w:r w:rsidR="00B90D43">
        <w:rPr>
          <w:rFonts w:ascii="宋体" w:hAnsi="宋体" w:cs="黑体" w:hint="eastAsia"/>
          <w:b/>
          <w:bCs/>
        </w:rPr>
        <w:t>名词释义</w:t>
      </w:r>
    </w:p>
    <w:p w:rsidR="00B90D43" w:rsidRDefault="00B90D43">
      <w:pPr>
        <w:widowControl/>
        <w:autoSpaceDE w:val="0"/>
        <w:spacing w:line="360" w:lineRule="auto"/>
        <w:ind w:firstLineChars="200" w:firstLine="420"/>
        <w:jc w:val="left"/>
        <w:rPr>
          <w:rFonts w:ascii="宋体" w:hAnsi="宋体" w:cs="黑体"/>
        </w:rPr>
      </w:pPr>
      <w:r>
        <w:rPr>
          <w:rFonts w:ascii="宋体" w:hAnsi="宋体" w:cs="黑体" w:hint="eastAsia"/>
        </w:rPr>
        <w:t>详见对应期次的理财计划产品说明书“释义”部分。</w:t>
      </w:r>
    </w:p>
    <w:p w:rsidR="00B90D43" w:rsidRDefault="00B90D43">
      <w:pPr>
        <w:widowControl/>
        <w:autoSpaceDE w:val="0"/>
        <w:spacing w:line="360" w:lineRule="auto"/>
        <w:ind w:firstLineChars="200" w:firstLine="420"/>
        <w:jc w:val="left"/>
        <w:rPr>
          <w:rFonts w:ascii="宋体" w:hAnsi="宋体" w:cs="黑体"/>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t xml:space="preserve">第二条 </w:t>
      </w:r>
      <w:r w:rsidR="00B90D43">
        <w:rPr>
          <w:rFonts w:ascii="宋体" w:hAnsi="宋体" w:cs="黑体" w:hint="eastAsia"/>
          <w:b/>
          <w:bCs/>
        </w:rPr>
        <w:t>投资者权利与义务</w:t>
      </w:r>
    </w:p>
    <w:p w:rsidR="00B90D43" w:rsidRDefault="00662ADB" w:rsidP="00662ADB">
      <w:pPr>
        <w:widowControl/>
        <w:spacing w:line="360" w:lineRule="auto"/>
        <w:ind w:firstLine="420"/>
        <w:contextualSpacing/>
        <w:rPr>
          <w:rFonts w:ascii="宋体" w:hAnsi="宋体" w:cs="黑体"/>
        </w:rPr>
      </w:pPr>
      <w:r>
        <w:rPr>
          <w:rFonts w:ascii="宋体" w:hAnsi="宋体" w:cs="黑体" w:hint="eastAsia"/>
        </w:rPr>
        <w:t>（一）</w:t>
      </w:r>
      <w:r w:rsidR="00B90D43">
        <w:rPr>
          <w:rFonts w:ascii="宋体" w:hAnsi="宋体" w:cs="黑体" w:hint="eastAsia"/>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sidR="00B90D43">
        <w:rPr>
          <w:rFonts w:ascii="宋体" w:hAnsi="宋体" w:cs="黑体" w:hint="eastAsia"/>
          <w:color w:val="00000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rsidR="00B90D43" w:rsidRDefault="00662ADB" w:rsidP="00662ADB">
      <w:pPr>
        <w:widowControl/>
        <w:spacing w:line="360" w:lineRule="auto"/>
        <w:ind w:firstLine="420"/>
        <w:contextualSpacing/>
        <w:rPr>
          <w:rFonts w:ascii="宋体" w:hAnsi="宋体" w:cs="黑体"/>
        </w:rPr>
      </w:pPr>
      <w:r>
        <w:rPr>
          <w:rFonts w:ascii="宋体" w:hAnsi="宋体" w:cs="黑体" w:hint="eastAsia"/>
        </w:rPr>
        <w:t>（二）</w:t>
      </w:r>
      <w:r w:rsidR="00B90D43">
        <w:rPr>
          <w:rFonts w:ascii="宋体" w:hAnsi="宋体" w:cs="黑体" w:hint="eastAsia"/>
        </w:rPr>
        <w:t>投资者保证自身完全了解理财投资的性质，投资所涉及的风险以及自身风险承受能力，在慎重考虑后独立作出交易决定。</w:t>
      </w:r>
    </w:p>
    <w:p w:rsidR="00B90D43" w:rsidRDefault="00662ADB" w:rsidP="00662ADB">
      <w:pPr>
        <w:widowControl/>
        <w:spacing w:line="360" w:lineRule="auto"/>
        <w:ind w:firstLine="420"/>
        <w:contextualSpacing/>
        <w:rPr>
          <w:rFonts w:ascii="宋体" w:hAnsi="宋体" w:cs="黑体"/>
        </w:rPr>
      </w:pPr>
      <w:r>
        <w:rPr>
          <w:rFonts w:ascii="宋体" w:hAnsi="宋体" w:cs="黑体" w:hint="eastAsia"/>
          <w:b/>
          <w:bCs/>
        </w:rPr>
        <w:lastRenderedPageBreak/>
        <w:t>（三）</w:t>
      </w:r>
      <w:r w:rsidR="00B90D43">
        <w:rPr>
          <w:rFonts w:ascii="宋体" w:hAnsi="宋体" w:cs="黑体" w:hint="eastAsia"/>
          <w:b/>
          <w:bCs/>
        </w:rPr>
        <w:t>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sidR="00B90D43">
        <w:rPr>
          <w:rFonts w:ascii="宋体" w:hAnsi="宋体" w:cs="黑体" w:hint="eastAsia"/>
        </w:rPr>
        <w:t>投资冷静期相关约定详见理财计划产品说明书。</w:t>
      </w:r>
    </w:p>
    <w:p w:rsidR="00B90D43" w:rsidRDefault="00662ADB" w:rsidP="00662ADB">
      <w:pPr>
        <w:widowControl/>
        <w:spacing w:line="360" w:lineRule="auto"/>
        <w:ind w:left="420"/>
        <w:contextualSpacing/>
        <w:rPr>
          <w:rFonts w:ascii="宋体" w:hAnsi="宋体" w:cs="黑体"/>
        </w:rPr>
      </w:pPr>
      <w:r>
        <w:rPr>
          <w:rFonts w:ascii="宋体" w:hAnsi="宋体" w:cs="黑体" w:hint="eastAsia"/>
        </w:rPr>
        <w:t>（四）</w:t>
      </w:r>
      <w:r w:rsidR="00B90D43">
        <w:rPr>
          <w:rFonts w:ascii="宋体" w:hAnsi="宋体" w:cs="黑体" w:hint="eastAsia"/>
        </w:rPr>
        <w:t>投资者保证其有权利签署本协议和履行本协议所述的义务，并已为此采取一切所需的行为。</w:t>
      </w:r>
    </w:p>
    <w:p w:rsidR="00B90D43" w:rsidRDefault="00662ADB" w:rsidP="00662ADB">
      <w:pPr>
        <w:widowControl/>
        <w:spacing w:line="360" w:lineRule="auto"/>
        <w:ind w:firstLine="420"/>
        <w:contextualSpacing/>
        <w:rPr>
          <w:rFonts w:ascii="宋体" w:hAnsi="宋体" w:cs="黑体"/>
        </w:rPr>
      </w:pPr>
      <w:r>
        <w:rPr>
          <w:rFonts w:ascii="宋体" w:hAnsi="宋体" w:cs="黑体" w:hint="eastAsia"/>
        </w:rPr>
        <w:t>（五）</w:t>
      </w:r>
      <w:r w:rsidR="00B90D43">
        <w:rPr>
          <w:rFonts w:ascii="宋体" w:hAnsi="宋体" w:cs="黑体" w:hint="eastAsia"/>
        </w:rPr>
        <w:t>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rsidR="00B90D43" w:rsidRDefault="00662ADB" w:rsidP="00662ADB">
      <w:pPr>
        <w:widowControl/>
        <w:spacing w:line="360" w:lineRule="auto"/>
        <w:ind w:firstLine="420"/>
        <w:contextualSpacing/>
        <w:rPr>
          <w:rFonts w:ascii="宋体" w:hAnsi="宋体" w:cs="黑体"/>
        </w:rPr>
      </w:pPr>
      <w:r>
        <w:rPr>
          <w:rFonts w:ascii="宋体" w:hAnsi="宋体" w:cs="黑体" w:hint="eastAsia"/>
          <w:b/>
          <w:bCs/>
        </w:rPr>
        <w:t>（六）</w:t>
      </w:r>
      <w:r w:rsidR="00B90D43">
        <w:rPr>
          <w:rFonts w:ascii="宋体" w:hAnsi="宋体" w:cs="黑体" w:hint="eastAsia"/>
          <w:b/>
          <w:bCs/>
        </w:rPr>
        <w:t>投资者在此确认代理销售机构的系统记录以及录音、录像构成对投资者操作行为（包括但不限于购买、赎回、撤单）的有效证据，并且在双方发生争议时可以作为合法有效的证据使用</w:t>
      </w:r>
      <w:r w:rsidR="00B90D43">
        <w:rPr>
          <w:rFonts w:ascii="宋体" w:hAnsi="宋体" w:cs="黑体" w:hint="eastAsia"/>
        </w:rPr>
        <w:t>。</w:t>
      </w:r>
    </w:p>
    <w:p w:rsidR="00B90D43" w:rsidRDefault="00662ADB" w:rsidP="00662ADB">
      <w:pPr>
        <w:widowControl/>
        <w:spacing w:line="360" w:lineRule="auto"/>
        <w:ind w:firstLine="420"/>
        <w:contextualSpacing/>
        <w:rPr>
          <w:rFonts w:ascii="宋体" w:hAnsi="宋体" w:cs="黑体"/>
        </w:rPr>
      </w:pPr>
      <w:r>
        <w:rPr>
          <w:rFonts w:ascii="宋体" w:hAnsi="宋体" w:cs="黑体" w:hint="eastAsia"/>
        </w:rPr>
        <w:t>（七）</w:t>
      </w:r>
      <w:r w:rsidR="00B90D43">
        <w:rPr>
          <w:rFonts w:ascii="宋体" w:hAnsi="宋体" w:cs="黑体" w:hint="eastAsia"/>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rsidR="00B90D43" w:rsidRDefault="00662ADB" w:rsidP="00662ADB">
      <w:pPr>
        <w:widowControl/>
        <w:spacing w:line="360" w:lineRule="auto"/>
        <w:ind w:firstLine="420"/>
        <w:contextualSpacing/>
        <w:rPr>
          <w:rFonts w:ascii="宋体" w:hAnsi="宋体" w:cs="黑体"/>
        </w:rPr>
      </w:pPr>
      <w:r>
        <w:rPr>
          <w:rFonts w:ascii="宋体" w:hAnsi="宋体" w:cs="黑体" w:hint="eastAsia"/>
        </w:rPr>
        <w:t>（八）</w:t>
      </w:r>
      <w:r w:rsidR="00B90D43">
        <w:rPr>
          <w:rFonts w:ascii="宋体" w:hAnsi="宋体" w:cs="黑体" w:hint="eastAsia"/>
        </w:rPr>
        <w:t xml:space="preserve">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rsidR="00B90D43" w:rsidRDefault="000C4480" w:rsidP="000C4480">
      <w:pPr>
        <w:widowControl/>
        <w:spacing w:line="360" w:lineRule="auto"/>
        <w:ind w:firstLine="420"/>
        <w:contextualSpacing/>
        <w:rPr>
          <w:rFonts w:ascii="宋体" w:hAnsi="宋体" w:cs="黑体"/>
        </w:rPr>
      </w:pPr>
      <w:r>
        <w:rPr>
          <w:rFonts w:ascii="宋体" w:hAnsi="宋体" w:cs="黑体" w:hint="eastAsia"/>
        </w:rPr>
        <w:t>（九）</w:t>
      </w:r>
      <w:r w:rsidR="00B90D43">
        <w:rPr>
          <w:rFonts w:ascii="宋体" w:hAnsi="宋体" w:cs="黑体" w:hint="eastAsia"/>
        </w:rPr>
        <w:t>本协议终止前，投资者不得将授权指定账户销户。若发生因投资者注销授权指定账户造成理财计划无法正常兑付的，代理销售机构不承担任何责任。</w:t>
      </w:r>
    </w:p>
    <w:p w:rsidR="00B90D43" w:rsidRDefault="000C4480" w:rsidP="000C4480">
      <w:pPr>
        <w:widowControl/>
        <w:spacing w:line="360" w:lineRule="auto"/>
        <w:ind w:firstLine="420"/>
        <w:contextualSpacing/>
        <w:rPr>
          <w:rFonts w:ascii="宋体" w:hAnsi="宋体" w:cs="黑体"/>
        </w:rPr>
      </w:pPr>
      <w:r>
        <w:rPr>
          <w:rFonts w:ascii="宋体" w:hAnsi="宋体" w:cs="黑体" w:hint="eastAsia"/>
        </w:rPr>
        <w:t>（十）</w:t>
      </w:r>
      <w:r w:rsidR="00B90D43">
        <w:rPr>
          <w:rFonts w:ascii="宋体" w:hAnsi="宋体" w:cs="黑体" w:hint="eastAsia"/>
        </w:rPr>
        <w:t xml:space="preserve">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rsidR="00B90D43" w:rsidRDefault="000C4480" w:rsidP="000C4480">
      <w:pPr>
        <w:widowControl/>
        <w:spacing w:line="360" w:lineRule="auto"/>
        <w:ind w:firstLine="420"/>
        <w:contextualSpacing/>
        <w:rPr>
          <w:rFonts w:ascii="宋体" w:hAnsi="宋体" w:cs="黑体"/>
        </w:rPr>
      </w:pPr>
      <w:r>
        <w:rPr>
          <w:rFonts w:ascii="宋体" w:hAnsi="宋体" w:cs="黑体" w:hint="eastAsia"/>
        </w:rPr>
        <w:t>（十一）</w:t>
      </w:r>
      <w:r w:rsidR="00B90D43">
        <w:rPr>
          <w:rFonts w:ascii="宋体" w:hAnsi="宋体" w:cs="黑体" w:hint="eastAsia"/>
        </w:rPr>
        <w:t>投资者对本协议及其条款负有保密义务，未经代理销售机构书面许可，不得向任何组织、个人提供或泄露与代理销售机构有关的业务资料及信息，但法律、法规另有规定的除外。</w:t>
      </w:r>
    </w:p>
    <w:p w:rsidR="00B90D43" w:rsidRDefault="000C4480" w:rsidP="000C4480">
      <w:pPr>
        <w:widowControl/>
        <w:spacing w:line="360" w:lineRule="auto"/>
        <w:ind w:left="420"/>
        <w:contextualSpacing/>
        <w:rPr>
          <w:rFonts w:ascii="宋体" w:hAnsi="宋体" w:cs="黑体"/>
        </w:rPr>
      </w:pPr>
      <w:r>
        <w:rPr>
          <w:rFonts w:ascii="宋体" w:hAnsi="宋体" w:cs="黑体" w:hint="eastAsia"/>
        </w:rPr>
        <w:t>（十二）</w:t>
      </w:r>
      <w:r w:rsidR="00B90D43">
        <w:rPr>
          <w:rFonts w:ascii="宋体" w:hAnsi="宋体" w:cs="黑体" w:hint="eastAsia"/>
        </w:rPr>
        <w:t>投资者进行投资时，应严格遵守反洗钱相关法规的规定，切实履行反洗钱及反恐怖融资义务。</w:t>
      </w:r>
    </w:p>
    <w:p w:rsidR="00B90D43" w:rsidRDefault="000C4480" w:rsidP="000C4480">
      <w:pPr>
        <w:widowControl/>
        <w:spacing w:line="360" w:lineRule="auto"/>
        <w:ind w:left="420"/>
        <w:contextualSpacing/>
        <w:rPr>
          <w:rFonts w:ascii="宋体" w:hAnsi="宋体" w:cs="黑体"/>
          <w:b/>
          <w:bCs/>
        </w:rPr>
      </w:pPr>
      <w:r>
        <w:rPr>
          <w:rFonts w:ascii="宋体" w:hAnsi="宋体" w:cs="黑体" w:hint="eastAsia"/>
          <w:b/>
          <w:bCs/>
        </w:rPr>
        <w:t>（十三）</w:t>
      </w:r>
      <w:r w:rsidR="00B90D43">
        <w:rPr>
          <w:rFonts w:ascii="宋体" w:hAnsi="宋体" w:cs="黑体" w:hint="eastAsia"/>
          <w:b/>
          <w:bCs/>
        </w:rPr>
        <w:t>投资者个人信息授权</w:t>
      </w:r>
    </w:p>
    <w:p w:rsidR="00B90D43" w:rsidRDefault="00B90D43">
      <w:pPr>
        <w:widowControl/>
        <w:spacing w:line="360" w:lineRule="auto"/>
        <w:ind w:firstLineChars="200" w:firstLine="422"/>
        <w:contextualSpacing/>
        <w:rPr>
          <w:rFonts w:ascii="宋体" w:hAnsi="宋体" w:cs="黑体"/>
          <w:b/>
          <w:bCs/>
        </w:rPr>
      </w:pPr>
      <w:r>
        <w:rPr>
          <w:rFonts w:ascii="宋体" w:hAnsi="宋体" w:cs="黑体" w:hint="eastAsia"/>
          <w:b/>
          <w:bCs/>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w:t>
      </w:r>
      <w:r>
        <w:rPr>
          <w:rFonts w:ascii="宋体" w:hAnsi="宋体" w:cs="黑体" w:hint="eastAsia"/>
          <w:b/>
          <w:bCs/>
        </w:rPr>
        <w:lastRenderedPageBreak/>
        <w:t>式、财产信息、账户信息、风险偏好与投资目标、其他与业务相关的个人信息以及法律法规规定的其他必要信息。</w:t>
      </w:r>
    </w:p>
    <w:p w:rsidR="00B90D43" w:rsidRDefault="00B90D43">
      <w:pPr>
        <w:widowControl/>
        <w:spacing w:line="360" w:lineRule="auto"/>
        <w:ind w:firstLineChars="200" w:firstLine="422"/>
        <w:contextualSpacing/>
        <w:rPr>
          <w:rFonts w:ascii="宋体" w:hAnsi="宋体" w:cs="黑体"/>
          <w:b/>
          <w:bCs/>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t xml:space="preserve">第三条 </w:t>
      </w:r>
      <w:r w:rsidR="00B90D43">
        <w:rPr>
          <w:rFonts w:ascii="宋体" w:hAnsi="宋体" w:cs="黑体" w:hint="eastAsia"/>
          <w:b/>
          <w:bCs/>
        </w:rPr>
        <w:t>代理销售机构的权利与义务</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（一）</w:t>
      </w:r>
      <w:r w:rsidR="00B90D43">
        <w:rPr>
          <w:rFonts w:ascii="宋体" w:hAnsi="宋体" w:cs="黑体" w:hint="eastAsia"/>
        </w:rPr>
        <w:t>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b/>
          <w:bCs/>
        </w:rPr>
        <w:t>（二）</w:t>
      </w:r>
      <w:r w:rsidR="00B90D43">
        <w:rPr>
          <w:rFonts w:ascii="宋体" w:hAnsi="宋体" w:cs="黑体" w:hint="eastAsia"/>
          <w:b/>
          <w:bCs/>
        </w:rPr>
        <w:t>代理销售机构非本计划的发行、管理机构，对本计划的业绩不承担任何保证和其他经济责任，不承担本计划的投资、兑付和风险管理责任</w:t>
      </w:r>
      <w:r w:rsidR="00B90D43">
        <w:rPr>
          <w:rFonts w:ascii="宋体" w:hAnsi="宋体" w:cs="黑体" w:hint="eastAsia"/>
        </w:rPr>
        <w:t>。</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（三）</w:t>
      </w:r>
      <w:r w:rsidR="00B90D43">
        <w:rPr>
          <w:rFonts w:ascii="宋体" w:hAnsi="宋体" w:cs="黑体" w:hint="eastAsia"/>
        </w:rPr>
        <w:t>代理销售机构应定期对购买其代理销售的理财计划的非机构投资者进行有效风险承受能力评估，并保证向投资者推介及销售与其风险承受能力匹配的产品。</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（四）</w:t>
      </w:r>
      <w:r w:rsidR="00B90D43">
        <w:rPr>
          <w:rFonts w:ascii="宋体" w:hAnsi="宋体" w:cs="黑体" w:hint="eastAsia"/>
        </w:rPr>
        <w:t>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（五）</w:t>
      </w:r>
      <w:r w:rsidR="00B90D43">
        <w:rPr>
          <w:rFonts w:ascii="宋体" w:hAnsi="宋体" w:cs="黑体" w:hint="eastAsia"/>
        </w:rPr>
        <w:t>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（六）</w:t>
      </w:r>
      <w:r w:rsidR="00B90D43">
        <w:rPr>
          <w:rFonts w:ascii="宋体" w:hAnsi="宋体" w:cs="黑体" w:hint="eastAsia"/>
        </w:rPr>
        <w:t>代理销售机构应建立健全上岗资格、持续培训、信息公示与查询核实等制度并有效执行。未经代理销售机构进行上岗资格认定并签订劳动合同，任何人员不得从事理财计划销售业务活动。</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（七）</w:t>
      </w:r>
      <w:r w:rsidR="00B90D43">
        <w:rPr>
          <w:rFonts w:ascii="宋体" w:hAnsi="宋体" w:cs="黑体" w:hint="eastAsia"/>
        </w:rPr>
        <w:t>代理销售机构应对所有销售人员信息进行登记和公示。销售人员在向投资者宣传销售理财计划前进行自我介绍并告知信息查询和核实渠道，便于投资者查询核实，防止伪冒身份和虚假宣传。</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（八）</w:t>
      </w:r>
      <w:r w:rsidR="00B90D43">
        <w:rPr>
          <w:rFonts w:ascii="宋体" w:hAnsi="宋体" w:cs="黑体" w:hint="eastAsia"/>
        </w:rPr>
        <w:t>代理销售机构对投资者负有信息保密义务，未经投资者书面许可，乙方不得向任何组织、个人提供或泄露与甲方有关的业务资料及信息，但法律、法规另有规定的除外。</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（九）</w:t>
      </w:r>
      <w:r w:rsidR="00B90D43">
        <w:rPr>
          <w:rFonts w:ascii="宋体" w:hAnsi="宋体" w:cs="黑体" w:hint="eastAsia"/>
        </w:rPr>
        <w:t>代理销售机构应按照法律法规、监管规定、理财计划合同的约定收取销售费用，并如实核算、记账。未经载明，不得对不同投资者适用不同费率。</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（十）</w:t>
      </w:r>
      <w:r w:rsidR="00B90D43">
        <w:rPr>
          <w:rFonts w:ascii="宋体" w:hAnsi="宋体" w:cs="黑体" w:hint="eastAsia"/>
        </w:rPr>
        <w:t>理财计划销售结算资金属于理财计划投资者，代理销售机构不得挪用理财计划销售结算资金或将理财计划销售结算资金归入自有资产。</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t>（十一）</w:t>
      </w:r>
      <w:r w:rsidR="00B90D43">
        <w:rPr>
          <w:rFonts w:ascii="宋体" w:hAnsi="宋体" w:cs="黑体" w:hint="eastAsia"/>
        </w:rPr>
        <w:t>代理销售机构应遵守相关法律、法规、监管规定及理财计划合同约定，诚实守信、勤勉尽责，向购买理财计划的投资者充分传递管理人披露的产品相关信息并进行充分的风险揭示。</w:t>
      </w:r>
    </w:p>
    <w:p w:rsidR="00B90D43" w:rsidRDefault="000C4480" w:rsidP="000C4480">
      <w:pPr>
        <w:widowControl/>
        <w:autoSpaceDE w:val="0"/>
        <w:spacing w:line="360" w:lineRule="auto"/>
        <w:ind w:firstLine="420"/>
        <w:contextualSpacing/>
        <w:jc w:val="left"/>
        <w:rPr>
          <w:rFonts w:ascii="宋体" w:hAnsi="宋体" w:cs="黑体"/>
        </w:rPr>
      </w:pPr>
      <w:r>
        <w:rPr>
          <w:rFonts w:ascii="宋体" w:hAnsi="宋体" w:cs="黑体" w:hint="eastAsia"/>
        </w:rPr>
        <w:lastRenderedPageBreak/>
        <w:t>（十二）</w:t>
      </w:r>
      <w:r w:rsidR="00B90D43">
        <w:rPr>
          <w:rFonts w:ascii="宋体" w:hAnsi="宋体" w:cs="黑体" w:hint="eastAsia"/>
        </w:rPr>
        <w:t>代理销售机构应当充分利用科技手段，加强对伪冒网站、伪冒产品等监测，有效防范各类欺诈风险。</w:t>
      </w:r>
    </w:p>
    <w:p w:rsidR="00B90D43" w:rsidRDefault="00B90D43">
      <w:pPr>
        <w:widowControl/>
        <w:autoSpaceDE w:val="0"/>
        <w:spacing w:line="360" w:lineRule="auto"/>
        <w:ind w:left="482"/>
        <w:contextualSpacing/>
        <w:jc w:val="left"/>
        <w:rPr>
          <w:rFonts w:ascii="宋体" w:hAnsi="宋体" w:cs="黑体"/>
          <w:b/>
          <w:bCs/>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t xml:space="preserve">第四条 </w:t>
      </w:r>
      <w:r w:rsidR="00B90D43">
        <w:rPr>
          <w:rFonts w:ascii="宋体" w:hAnsi="宋体" w:cs="黑体" w:hint="eastAsia"/>
          <w:b/>
          <w:bCs/>
        </w:rPr>
        <w:t>理财计划认（申）购、赎回及终止</w:t>
      </w:r>
    </w:p>
    <w:p w:rsidR="00B90D43" w:rsidRDefault="000C4480" w:rsidP="000C4480">
      <w:pPr>
        <w:widowControl/>
        <w:autoSpaceDE w:val="0"/>
        <w:spacing w:line="360" w:lineRule="auto"/>
        <w:ind w:left="420"/>
        <w:contextualSpacing/>
        <w:rPr>
          <w:rFonts w:ascii="宋体" w:hAnsi="宋体" w:cs="黑体"/>
        </w:rPr>
      </w:pPr>
      <w:r>
        <w:rPr>
          <w:rFonts w:ascii="宋体" w:hAnsi="宋体" w:cs="黑体" w:hint="eastAsia"/>
        </w:rPr>
        <w:t>（一）</w:t>
      </w:r>
      <w:r w:rsidR="00B90D43">
        <w:rPr>
          <w:rFonts w:ascii="宋体" w:hAnsi="宋体" w:cs="黑体" w:hint="eastAsia"/>
        </w:rPr>
        <w:t xml:space="preserve">理财计划认/申购办理流程：参照投资者权益须知约定。 </w:t>
      </w:r>
    </w:p>
    <w:p w:rsidR="00B90D43" w:rsidRDefault="000C4480" w:rsidP="000C4480">
      <w:pPr>
        <w:widowControl/>
        <w:autoSpaceDE w:val="0"/>
        <w:spacing w:line="360" w:lineRule="auto"/>
        <w:ind w:left="420"/>
        <w:contextualSpacing/>
        <w:rPr>
          <w:rFonts w:ascii="宋体" w:hAnsi="宋体" w:cs="黑体"/>
        </w:rPr>
      </w:pPr>
      <w:r>
        <w:rPr>
          <w:rFonts w:ascii="宋体" w:hAnsi="宋体" w:cs="黑体" w:hint="eastAsia"/>
        </w:rPr>
        <w:t>（二）</w:t>
      </w:r>
      <w:r w:rsidR="00B90D43">
        <w:rPr>
          <w:rFonts w:ascii="宋体" w:hAnsi="宋体" w:cs="黑体" w:hint="eastAsia"/>
        </w:rPr>
        <w:t>理财计划认/申购确认：管理人根据代理销售渠道提供的交易信息及资金划付对投资者相应认/申购进行确认。</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（三）</w:t>
      </w:r>
      <w:r w:rsidR="00B90D43">
        <w:rPr>
          <w:rFonts w:ascii="宋体" w:hAnsi="宋体" w:cs="黑体" w:hint="eastAsia"/>
        </w:rPr>
        <w:t xml:space="preserve">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（四）</w:t>
      </w:r>
      <w:r w:rsidR="00B90D43">
        <w:rPr>
          <w:rFonts w:ascii="宋体" w:hAnsi="宋体" w:cs="黑体" w:hint="eastAsia"/>
        </w:rPr>
        <w:t xml:space="preserve">理财计划投资品种、投资起点金额、收益支付方式：参照对应期次的理财计划产品说明书中的条款约定。 </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（五）</w:t>
      </w:r>
      <w:r w:rsidR="00B90D43">
        <w:rPr>
          <w:rFonts w:ascii="宋体" w:hAnsi="宋体" w:cs="黑体" w:hint="eastAsia"/>
        </w:rPr>
        <w:t>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（六）</w:t>
      </w:r>
      <w:r w:rsidR="00B90D43">
        <w:rPr>
          <w:rFonts w:ascii="宋体" w:hAnsi="宋体" w:cs="黑体" w:hint="eastAsia"/>
        </w:rPr>
        <w:t>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rsidR="00B90D43" w:rsidRDefault="00B90D43">
      <w:pPr>
        <w:widowControl/>
        <w:autoSpaceDE w:val="0"/>
        <w:spacing w:line="360" w:lineRule="auto"/>
        <w:ind w:leftChars="85" w:left="178"/>
        <w:contextualSpacing/>
        <w:rPr>
          <w:rFonts w:ascii="宋体" w:hAnsi="宋体" w:cs="黑体"/>
          <w:b/>
          <w:bCs/>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t xml:space="preserve">第五条 </w:t>
      </w:r>
      <w:r w:rsidR="00B90D43">
        <w:rPr>
          <w:rFonts w:ascii="宋体" w:hAnsi="宋体" w:cs="黑体" w:hint="eastAsia"/>
          <w:b/>
          <w:bCs/>
        </w:rPr>
        <w:t>违约责任及免责条款</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（一）</w:t>
      </w:r>
      <w:r w:rsidR="00B90D43">
        <w:rPr>
          <w:rFonts w:ascii="宋体" w:hAnsi="宋体" w:cs="黑体" w:hint="eastAsia"/>
        </w:rPr>
        <w:t>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lastRenderedPageBreak/>
        <w:t>（二）</w:t>
      </w:r>
      <w:r w:rsidR="00B90D43">
        <w:rPr>
          <w:rFonts w:ascii="宋体" w:hAnsi="宋体" w:cs="黑体" w:hint="eastAsia"/>
        </w:rPr>
        <w:t>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（三）</w:t>
      </w:r>
      <w:r w:rsidR="00B90D43">
        <w:rPr>
          <w:rFonts w:ascii="宋体" w:hAnsi="宋体" w:cs="黑体" w:hint="eastAsia"/>
        </w:rPr>
        <w:t>若由于代理销售机构过错导致理财计划资产发生损失，代理销售机构应按其过错承担赔偿责任，代理销售机构赔偿的款项计入理财计划的资产和收益。</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（四）</w:t>
      </w:r>
      <w:r w:rsidR="00B90D43">
        <w:rPr>
          <w:rFonts w:ascii="宋体" w:hAnsi="宋体" w:cs="黑体" w:hint="eastAsia"/>
        </w:rPr>
        <w:t>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（五）</w:t>
      </w:r>
      <w:r w:rsidR="00B90D43">
        <w:rPr>
          <w:rFonts w:ascii="宋体" w:hAnsi="宋体" w:cs="黑体" w:hint="eastAsia"/>
        </w:rPr>
        <w:t>因国家有关法律、法规、规章、政策的修改或新的法律、法规、规章、政策颁布以及紧急措施的出台导致的风险及损失，代理销售机构不承担责任。</w:t>
      </w:r>
    </w:p>
    <w:p w:rsidR="00B90D43" w:rsidRDefault="00B90D43">
      <w:pPr>
        <w:widowControl/>
        <w:autoSpaceDE w:val="0"/>
        <w:spacing w:line="360" w:lineRule="auto"/>
        <w:contextualSpacing/>
        <w:rPr>
          <w:rFonts w:ascii="宋体" w:hAnsi="宋体" w:cs="黑体"/>
          <w:b/>
          <w:bCs/>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t xml:space="preserve">第六条 </w:t>
      </w:r>
      <w:r w:rsidR="00B90D43">
        <w:rPr>
          <w:rFonts w:ascii="宋体" w:hAnsi="宋体" w:cs="黑体" w:hint="eastAsia"/>
          <w:b/>
          <w:bCs/>
        </w:rPr>
        <w:t>适用法律与争议解决</w:t>
      </w:r>
    </w:p>
    <w:p w:rsidR="00B90D43" w:rsidRDefault="00B90D43">
      <w:pPr>
        <w:widowControl/>
        <w:autoSpaceDE w:val="0"/>
        <w:spacing w:line="360" w:lineRule="auto"/>
        <w:ind w:firstLineChars="200" w:firstLine="420"/>
        <w:contextualSpacing/>
        <w:rPr>
          <w:rFonts w:ascii="宋体" w:hAnsi="宋体" w:cs="黑体"/>
        </w:rPr>
      </w:pPr>
      <w:r>
        <w:rPr>
          <w:rFonts w:ascii="宋体" w:hAnsi="宋体" w:cs="黑体" w:hint="eastAsia"/>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rsidR="00B90D43" w:rsidRDefault="00B90D43">
      <w:pPr>
        <w:widowControl/>
        <w:autoSpaceDE w:val="0"/>
        <w:spacing w:line="360" w:lineRule="auto"/>
        <w:ind w:firstLineChars="200" w:firstLine="422"/>
        <w:contextualSpacing/>
        <w:rPr>
          <w:rFonts w:ascii="宋体" w:hAnsi="宋体" w:cs="黑体"/>
          <w:b/>
          <w:bCs/>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t xml:space="preserve">第七条 </w:t>
      </w:r>
      <w:r w:rsidR="00B90D43">
        <w:rPr>
          <w:rFonts w:ascii="宋体" w:hAnsi="宋体" w:cs="黑体" w:hint="eastAsia"/>
          <w:b/>
          <w:bCs/>
        </w:rPr>
        <w:t>协议生效和终止</w:t>
      </w:r>
    </w:p>
    <w:p w:rsidR="00B90D43" w:rsidRDefault="000C4480" w:rsidP="000C4480">
      <w:pPr>
        <w:widowControl/>
        <w:autoSpaceDE w:val="0"/>
        <w:spacing w:line="360" w:lineRule="auto"/>
        <w:ind w:left="420"/>
        <w:contextualSpacing/>
        <w:rPr>
          <w:rFonts w:ascii="宋体" w:hAnsi="宋体" w:cs="黑体"/>
        </w:rPr>
      </w:pPr>
      <w:r>
        <w:rPr>
          <w:rFonts w:ascii="宋体" w:hAnsi="宋体" w:cs="黑体" w:hint="eastAsia"/>
        </w:rPr>
        <w:t>（一）</w:t>
      </w:r>
      <w:r w:rsidR="00B90D43">
        <w:rPr>
          <w:rFonts w:ascii="宋体" w:hAnsi="宋体" w:cs="黑体" w:hint="eastAsia"/>
        </w:rPr>
        <w:t xml:space="preserve">投资者和代理销售机构双方认可本协议可以纸质或电子数据等形式提交、订立或确认。 </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（二）</w:t>
      </w:r>
      <w:r w:rsidR="00B90D43">
        <w:rPr>
          <w:rFonts w:ascii="宋体" w:hAnsi="宋体" w:cs="黑体" w:hint="eastAsia"/>
        </w:rPr>
        <w:t xml:space="preserve">本协议书以纸质书面形式订立的，自投资者签字和代理销售机构签章之后立即生效。协议一式叁份，投资者、管理人和代理销售机构各执壹份，具有同等法律效力。 </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（三）</w:t>
      </w:r>
      <w:r w:rsidR="00B90D43">
        <w:rPr>
          <w:rFonts w:ascii="宋体" w:hAnsi="宋体" w:cs="黑体" w:hint="eastAsia"/>
        </w:rPr>
        <w:t>本协议书以数据电文形式订立的，投资者在代理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（四）</w:t>
      </w:r>
      <w:r w:rsidR="00B90D43">
        <w:rPr>
          <w:rFonts w:ascii="宋体" w:hAnsi="宋体" w:cs="黑体" w:hint="eastAsia"/>
        </w:rPr>
        <w:t>投资者和代理销售机构双方在本协议及对应期次的理财计划产品说明书项下权利义务履行完毕之日，本协议自动终止。</w:t>
      </w:r>
    </w:p>
    <w:p w:rsidR="00B90D43" w:rsidRDefault="00B90D43">
      <w:pPr>
        <w:widowControl/>
        <w:autoSpaceDE w:val="0"/>
        <w:spacing w:line="360" w:lineRule="auto"/>
        <w:ind w:left="420"/>
        <w:contextualSpacing/>
        <w:rPr>
          <w:rFonts w:ascii="宋体" w:hAnsi="宋体" w:cs="黑体"/>
        </w:rPr>
      </w:pPr>
    </w:p>
    <w:p w:rsidR="00B90D43" w:rsidRDefault="00662ADB" w:rsidP="00662ADB">
      <w:pPr>
        <w:widowControl/>
        <w:autoSpaceDE w:val="0"/>
        <w:spacing w:line="360" w:lineRule="auto"/>
        <w:ind w:firstLine="420"/>
        <w:rPr>
          <w:rFonts w:ascii="宋体" w:hAnsi="宋体" w:cs="黑体"/>
          <w:b/>
          <w:bCs/>
        </w:rPr>
      </w:pPr>
      <w:r>
        <w:rPr>
          <w:rFonts w:ascii="宋体" w:hAnsi="宋体" w:cs="黑体" w:hint="eastAsia"/>
          <w:b/>
          <w:bCs/>
        </w:rPr>
        <w:lastRenderedPageBreak/>
        <w:t xml:space="preserve">第八条 </w:t>
      </w:r>
      <w:r w:rsidR="00B90D43">
        <w:rPr>
          <w:rFonts w:ascii="宋体" w:hAnsi="宋体" w:cs="黑体" w:hint="eastAsia"/>
          <w:b/>
          <w:bCs/>
        </w:rPr>
        <w:t xml:space="preserve">附则 </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（一）</w:t>
      </w:r>
      <w:r w:rsidR="00B90D43">
        <w:rPr>
          <w:rFonts w:ascii="宋体" w:hAnsi="宋体" w:cs="黑体" w:hint="eastAsia"/>
        </w:rPr>
        <w:t>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（二）</w:t>
      </w:r>
      <w:r w:rsidR="00B90D43">
        <w:rPr>
          <w:rFonts w:ascii="宋体" w:hAnsi="宋体" w:cs="黑体" w:hint="eastAsia"/>
        </w:rPr>
        <w:t>如果由于任何原因使本合同下的任何条款或内容成为无效或被依法撤销，本合同其他条款或内容的合法性、有效性和可执行性不受影响。</w:t>
      </w:r>
    </w:p>
    <w:p w:rsidR="00B90D43" w:rsidRDefault="000C4480" w:rsidP="000C4480">
      <w:pPr>
        <w:widowControl/>
        <w:autoSpaceDE w:val="0"/>
        <w:spacing w:line="360" w:lineRule="auto"/>
        <w:ind w:firstLine="420"/>
        <w:contextualSpacing/>
        <w:rPr>
          <w:rFonts w:ascii="宋体" w:hAnsi="宋体" w:cs="黑体"/>
        </w:rPr>
      </w:pPr>
      <w:r>
        <w:rPr>
          <w:rFonts w:ascii="宋体" w:hAnsi="宋体" w:cs="黑体" w:hint="eastAsia"/>
        </w:rPr>
        <w:t>（三）</w:t>
      </w:r>
      <w:r w:rsidR="00B90D43">
        <w:rPr>
          <w:rFonts w:ascii="宋体" w:hAnsi="宋体" w:cs="黑体" w:hint="eastAsia"/>
        </w:rPr>
        <w:t>在理财计划存续期内，如因监管政策或法律法规发生变化，在不损害投资者利益的前提下，管理人有权单方对理财计划合同销售文件进行修订。</w:t>
      </w:r>
    </w:p>
    <w:p w:rsidR="00B90D43" w:rsidRDefault="00B90D43">
      <w:pPr>
        <w:widowControl/>
        <w:autoSpaceDE w:val="0"/>
        <w:spacing w:line="360" w:lineRule="auto"/>
        <w:contextualSpacing/>
        <w:rPr>
          <w:rFonts w:ascii="宋体" w:hAnsi="宋体" w:cs="黑体"/>
        </w:rPr>
      </w:pPr>
    </w:p>
    <w:p w:rsidR="00B90D43" w:rsidRDefault="00B90D43">
      <w:pPr>
        <w:autoSpaceDE w:val="0"/>
        <w:spacing w:line="360" w:lineRule="auto"/>
        <w:rPr>
          <w:rFonts w:ascii="宋体" w:hAnsi="宋体"/>
        </w:rPr>
      </w:pPr>
    </w:p>
    <w:p w:rsidR="00B90D43" w:rsidRDefault="00B90D43">
      <w:pPr>
        <w:autoSpaceDE w:val="0"/>
        <w:spacing w:line="360" w:lineRule="auto"/>
        <w:rPr>
          <w:rFonts w:ascii="宋体" w:hAnsi="宋体"/>
        </w:rPr>
      </w:pPr>
    </w:p>
    <w:p w:rsidR="00B90D43" w:rsidRDefault="00B90D43">
      <w:pPr>
        <w:widowControl/>
        <w:spacing w:line="360" w:lineRule="auto"/>
        <w:jc w:val="right"/>
        <w:rPr>
          <w:rFonts w:ascii="宋体" w:hAnsi="宋体"/>
          <w:color w:val="000000"/>
          <w:kern w:val="0"/>
        </w:rPr>
      </w:pPr>
      <w:r>
        <w:rPr>
          <w:rFonts w:ascii="宋体" w:hAnsi="宋体" w:hint="eastAsia"/>
          <w:kern w:val="0"/>
        </w:rPr>
        <w:t>杭银理财有限责任公司</w:t>
      </w:r>
    </w:p>
    <w:p w:rsidR="00B90D43" w:rsidRDefault="00B90D43">
      <w:pPr>
        <w:spacing w:line="360" w:lineRule="auto"/>
        <w:rPr>
          <w:rFonts w:ascii="宋体" w:hAnsi="宋体" w:cs="黑体"/>
        </w:rPr>
      </w:pPr>
      <w:r>
        <w:rPr>
          <w:rFonts w:ascii="宋体" w:hAnsi="宋体" w:hint="eastAsia"/>
          <w:color w:val="000000"/>
          <w:kern w:val="0"/>
          <w:szCs w:val="21"/>
        </w:rPr>
        <w:br w:type="page"/>
      </w:r>
      <w:r>
        <w:rPr>
          <w:rFonts w:ascii="宋体" w:hAnsi="宋体" w:cs="黑体" w:hint="eastAsia"/>
          <w:szCs w:val="21"/>
        </w:rPr>
        <w:lastRenderedPageBreak/>
        <w:t>本页为纸质形式（如有）销售协议书签章页</w:t>
      </w:r>
    </w:p>
    <w:p w:rsidR="00B90D43" w:rsidRDefault="00B90D43">
      <w:pPr>
        <w:spacing w:line="360" w:lineRule="auto"/>
      </w:pPr>
    </w:p>
    <w:p w:rsidR="00B90D43" w:rsidRDefault="00B90D43">
      <w:pPr>
        <w:spacing w:line="360" w:lineRule="auto"/>
      </w:pPr>
    </w:p>
    <w:p w:rsidR="00B90D43" w:rsidRDefault="00B90D43">
      <w:pPr>
        <w:spacing w:line="360" w:lineRule="auto"/>
      </w:pPr>
    </w:p>
    <w:p w:rsidR="00B90D43" w:rsidRDefault="00B90D43">
      <w:pPr>
        <w:spacing w:line="360" w:lineRule="auto"/>
      </w:pPr>
    </w:p>
    <w:p w:rsidR="00B90D43" w:rsidRDefault="00B90D43">
      <w:pPr>
        <w:spacing w:line="360" w:lineRule="auto"/>
      </w:pPr>
    </w:p>
    <w:p w:rsidR="00B90D43" w:rsidRDefault="00B90D43">
      <w:pPr>
        <w:spacing w:line="360" w:lineRule="auto"/>
      </w:pPr>
    </w:p>
    <w:p w:rsidR="00B90D43" w:rsidRDefault="00B90D43">
      <w:pPr>
        <w:spacing w:line="360" w:lineRule="auto"/>
      </w:pPr>
    </w:p>
    <w:p w:rsidR="00B90D43" w:rsidRDefault="00B90D43">
      <w:pPr>
        <w:spacing w:line="360" w:lineRule="auto"/>
      </w:pPr>
    </w:p>
    <w:p w:rsidR="00B90D43" w:rsidRDefault="00B90D43">
      <w:pPr>
        <w:spacing w:line="360" w:lineRule="auto"/>
        <w:rPr>
          <w:rFonts w:ascii="宋体" w:hAnsi="宋体" w:cs="黑体"/>
          <w:b/>
          <w:bCs/>
        </w:rPr>
      </w:pPr>
      <w:r>
        <w:rPr>
          <w:rFonts w:ascii="宋体" w:hAnsi="宋体" w:cs="黑体" w:hint="eastAsia"/>
          <w:b/>
          <w:bCs/>
          <w:szCs w:val="21"/>
        </w:rPr>
        <w:t>投资者（签字）：</w:t>
      </w:r>
    </w:p>
    <w:p w:rsidR="00B90D43" w:rsidRDefault="00B90D43">
      <w:pPr>
        <w:spacing w:beforeLines="50" w:before="156" w:afterLines="50" w:after="156" w:line="360" w:lineRule="auto"/>
        <w:ind w:firstLineChars="2000" w:firstLine="4200"/>
        <w:jc w:val="right"/>
        <w:rPr>
          <w:rFonts w:ascii="Arial" w:hAnsi="Arial"/>
        </w:rPr>
      </w:pPr>
      <w:r>
        <w:rPr>
          <w:rFonts w:ascii="Arial" w:hAnsi="Arial" w:hint="eastAsia"/>
          <w:szCs w:val="21"/>
        </w:rPr>
        <w:t xml:space="preserve">   </w:t>
      </w:r>
      <w:r>
        <w:rPr>
          <w:rFonts w:ascii="Arial" w:hAnsi="Arial" w:hint="eastAsia"/>
          <w:szCs w:val="21"/>
        </w:rPr>
        <w:t>年</w:t>
      </w:r>
      <w:r>
        <w:rPr>
          <w:rFonts w:ascii="Arial" w:hAnsi="Arial" w:hint="eastAsia"/>
          <w:szCs w:val="21"/>
        </w:rPr>
        <w:t xml:space="preserve">   </w:t>
      </w:r>
      <w:r>
        <w:rPr>
          <w:rFonts w:ascii="Arial" w:hAnsi="Arial" w:hint="eastAsia"/>
          <w:szCs w:val="21"/>
        </w:rPr>
        <w:t>月</w:t>
      </w:r>
      <w:r>
        <w:rPr>
          <w:rFonts w:ascii="Arial" w:hAnsi="Arial" w:hint="eastAsia"/>
          <w:szCs w:val="21"/>
        </w:rPr>
        <w:t xml:space="preserve">   </w:t>
      </w:r>
      <w:r>
        <w:rPr>
          <w:rFonts w:ascii="Arial" w:hAnsi="Arial" w:hint="eastAsia"/>
          <w:szCs w:val="21"/>
        </w:rPr>
        <w:t>日</w:t>
      </w:r>
    </w:p>
    <w:p w:rsidR="00B90D43" w:rsidRDefault="00B90D43">
      <w:pPr>
        <w:spacing w:line="360" w:lineRule="auto"/>
        <w:rPr>
          <w:rFonts w:ascii="宋体" w:hAnsi="宋体" w:cs="黑体"/>
          <w:b/>
          <w:bCs/>
        </w:rPr>
      </w:pPr>
    </w:p>
    <w:p w:rsidR="00B90D43" w:rsidRDefault="00B90D43">
      <w:pPr>
        <w:spacing w:line="360" w:lineRule="auto"/>
        <w:rPr>
          <w:rFonts w:ascii="宋体" w:hAnsi="宋体" w:cs="黑体"/>
          <w:b/>
          <w:bCs/>
        </w:rPr>
      </w:pPr>
    </w:p>
    <w:p w:rsidR="00B90D43" w:rsidRDefault="00B90D43">
      <w:pPr>
        <w:spacing w:line="360" w:lineRule="auto"/>
        <w:rPr>
          <w:rFonts w:ascii="宋体" w:hAnsi="宋体" w:cs="黑体"/>
          <w:b/>
          <w:bCs/>
        </w:rPr>
      </w:pPr>
    </w:p>
    <w:p w:rsidR="00B90D43" w:rsidRDefault="00B90D43">
      <w:pPr>
        <w:spacing w:line="360" w:lineRule="auto"/>
        <w:rPr>
          <w:rFonts w:ascii="宋体" w:hAnsi="宋体" w:cs="黑体"/>
          <w:b/>
          <w:bCs/>
        </w:rPr>
      </w:pPr>
    </w:p>
    <w:p w:rsidR="00B90D43" w:rsidRDefault="00B90D43">
      <w:pPr>
        <w:spacing w:line="360" w:lineRule="auto"/>
        <w:rPr>
          <w:rFonts w:ascii="宋体" w:hAnsi="宋体" w:cs="黑体"/>
          <w:b/>
          <w:bCs/>
        </w:rPr>
      </w:pPr>
      <w:r>
        <w:rPr>
          <w:rFonts w:ascii="宋体" w:hAnsi="宋体" w:cs="黑体" w:hint="eastAsia"/>
          <w:b/>
          <w:bCs/>
          <w:szCs w:val="21"/>
        </w:rPr>
        <w:t>代理销售机构签章：</w:t>
      </w:r>
    </w:p>
    <w:p w:rsidR="00B90D43" w:rsidRDefault="00B90D43">
      <w:pPr>
        <w:spacing w:line="360" w:lineRule="auto"/>
        <w:rPr>
          <w:rFonts w:ascii="宋体" w:hAnsi="宋体" w:cs="黑体"/>
          <w:b/>
          <w:bCs/>
        </w:rPr>
      </w:pPr>
    </w:p>
    <w:p w:rsidR="00B90D43" w:rsidRDefault="00B90D43">
      <w:pPr>
        <w:spacing w:line="360" w:lineRule="auto"/>
        <w:rPr>
          <w:rFonts w:ascii="宋体" w:hAnsi="宋体" w:cs="黑体"/>
          <w:b/>
          <w:bCs/>
        </w:rPr>
      </w:pPr>
    </w:p>
    <w:p w:rsidR="00B90D43" w:rsidRDefault="00B90D43">
      <w:pPr>
        <w:spacing w:beforeLines="50" w:before="156" w:afterLines="50" w:after="156" w:line="360" w:lineRule="auto"/>
        <w:ind w:firstLineChars="2000" w:firstLine="4200"/>
        <w:jc w:val="right"/>
        <w:rPr>
          <w:rFonts w:ascii="Arial" w:hAnsi="Arial"/>
        </w:rPr>
      </w:pPr>
      <w:r>
        <w:rPr>
          <w:rFonts w:ascii="Arial" w:hAnsi="Arial" w:hint="eastAsia"/>
          <w:szCs w:val="21"/>
        </w:rPr>
        <w:t xml:space="preserve">   </w:t>
      </w:r>
      <w:r>
        <w:rPr>
          <w:rFonts w:ascii="Arial" w:hAnsi="Arial" w:hint="eastAsia"/>
          <w:szCs w:val="21"/>
        </w:rPr>
        <w:t>年</w:t>
      </w:r>
      <w:r>
        <w:rPr>
          <w:rFonts w:ascii="Arial" w:hAnsi="Arial" w:hint="eastAsia"/>
          <w:szCs w:val="21"/>
        </w:rPr>
        <w:t xml:space="preserve">   </w:t>
      </w:r>
      <w:r>
        <w:rPr>
          <w:rFonts w:ascii="Arial" w:hAnsi="Arial" w:hint="eastAsia"/>
          <w:szCs w:val="21"/>
        </w:rPr>
        <w:t>月</w:t>
      </w:r>
      <w:r>
        <w:rPr>
          <w:rFonts w:ascii="Arial" w:hAnsi="Arial" w:hint="eastAsia"/>
          <w:szCs w:val="21"/>
        </w:rPr>
        <w:t xml:space="preserve">   </w:t>
      </w:r>
      <w:r>
        <w:rPr>
          <w:rFonts w:ascii="Arial" w:hAnsi="Arial" w:hint="eastAsia"/>
          <w:szCs w:val="21"/>
        </w:rPr>
        <w:t>日</w:t>
      </w:r>
    </w:p>
    <w:p w:rsidR="00B90D43" w:rsidRDefault="00B90D43">
      <w:pPr>
        <w:spacing w:line="360" w:lineRule="auto"/>
        <w:rPr>
          <w:rFonts w:ascii="宋体" w:hAnsi="宋体" w:cs="黑体"/>
          <w:b/>
          <w:bCs/>
          <w:sz w:val="28"/>
          <w:szCs w:val="28"/>
        </w:rPr>
      </w:pPr>
    </w:p>
    <w:p w:rsidR="00B90D43" w:rsidRDefault="00B90D43">
      <w:pPr>
        <w:pStyle w:val="a8"/>
        <w:widowControl/>
        <w:spacing w:line="360" w:lineRule="auto"/>
        <w:jc w:val="left"/>
        <w:rPr>
          <w:rFonts w:ascii="宋体" w:hAnsi="宋体"/>
          <w:color w:val="000000"/>
          <w:kern w:val="0"/>
          <w:sz w:val="21"/>
          <w:szCs w:val="21"/>
        </w:rPr>
      </w:pPr>
    </w:p>
    <w:p w:rsidR="00B90D43" w:rsidRDefault="00B90D43"/>
    <w:p w:rsidR="00B90D43" w:rsidRDefault="00B90D43">
      <w:pPr>
        <w:spacing w:line="520" w:lineRule="exact"/>
        <w:ind w:firstLineChars="202" w:firstLine="424"/>
        <w:rPr>
          <w:rFonts w:ascii="宋体" w:hAnsi="Wingdings" w:cs="宋体" w:hint="eastAsia"/>
          <w:color w:val="000000"/>
          <w:kern w:val="0"/>
        </w:rPr>
      </w:pPr>
    </w:p>
    <w:p w:rsidR="00B90D43" w:rsidRDefault="00B90D43">
      <w:pPr>
        <w:spacing w:line="520" w:lineRule="exact"/>
        <w:ind w:firstLineChars="202" w:firstLine="424"/>
        <w:rPr>
          <w:rFonts w:ascii="宋体" w:hAnsi="Wingdings" w:cs="宋体" w:hint="eastAsia"/>
          <w:color w:val="000000"/>
          <w:kern w:val="0"/>
        </w:rPr>
      </w:pPr>
    </w:p>
    <w:p w:rsidR="00B90D43" w:rsidRDefault="00B90D43">
      <w:pPr>
        <w:pStyle w:val="a8"/>
        <w:widowControl/>
        <w:spacing w:line="360" w:lineRule="auto"/>
        <w:jc w:val="left"/>
        <w:rPr>
          <w:rFonts w:ascii="宋体" w:hAnsi="Wingdings" w:hint="eastAsia"/>
          <w:color w:val="000000"/>
          <w:kern w:val="0"/>
          <w:sz w:val="21"/>
          <w:szCs w:val="21"/>
        </w:rPr>
      </w:pPr>
    </w:p>
    <w:p w:rsidR="00B90D43" w:rsidRDefault="00B90D43">
      <w:pPr>
        <w:rPr>
          <w:rFonts w:hint="eastAsia"/>
        </w:rPr>
      </w:pPr>
      <w:r>
        <w:t xml:space="preserve"> </w:t>
      </w:r>
    </w:p>
    <w:p w:rsidR="00B90D43" w:rsidRDefault="00B90D43">
      <w:pPr>
        <w:spacing w:line="520" w:lineRule="exact"/>
        <w:ind w:firstLineChars="202" w:firstLine="424"/>
        <w:rPr>
          <w:rFonts w:ascii="宋体" w:hAnsi="Wingdings" w:cs="宋体" w:hint="eastAsia"/>
          <w:color w:val="000000"/>
          <w:kern w:val="0"/>
        </w:rPr>
      </w:pPr>
    </w:p>
    <w:p w:rsidR="00B90D43" w:rsidRDefault="00B90D43">
      <w:pPr>
        <w:spacing w:line="300" w:lineRule="auto"/>
        <w:rPr>
          <w:rFonts w:ascii="宋体" w:hAnsi="Wingdings" w:cs="宋体" w:hint="eastAsia"/>
          <w:color w:val="000000"/>
          <w:kern w:val="0"/>
        </w:rPr>
      </w:pPr>
    </w:p>
    <w:p w:rsidR="00B90D43" w:rsidRDefault="00B90D43"/>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1" layoutInCell="1" allowOverlap="1">
              <wp:simplePos x="0" y="0"/>
              <wp:positionH relativeFrom="margin">
                <wp:align>center</wp:align>
              </wp:positionH>
              <wp:positionV relativeFrom="paragraph">
                <wp:posOffset>0</wp:posOffset>
              </wp:positionV>
              <wp:extent cx="135255" cy="162560"/>
              <wp:effectExtent l="0" t="0" r="0" b="0"/>
              <wp:wrapNone/>
              <wp:docPr id="2" name="文本框 12"/>
              <wp:cNvGraphicFramePr/>
              <a:graphic xmlns:a="http://schemas.openxmlformats.org/drawingml/2006/main">
                <a:graphicData uri="http://schemas.microsoft.com/office/word/2010/wordprocessingShape">
                  <wps:wsp>
                    <wps:cNvSpPr txBox="1"/>
                    <wps:spPr>
                      <a:xfrm>
                        <a:off x="0" y="0"/>
                        <a:ext cx="135255" cy="162560"/>
                      </a:xfrm>
                      <a:prstGeom prst="rect">
                        <a:avLst/>
                      </a:prstGeom>
                      <a:noFill/>
                      <a:ln>
                        <a:noFill/>
                      </a:ln>
                    </wps:spPr>
                    <wps:txbx>
                      <w:txbxContent>
                        <w:p>
                          <w:pPr>
                            <w:snapToGrid w:val="0"/>
                            <w:rPr>
                              <w:rFonts w:cs="Times New Roman"/>
                              <w:sz w:val="18"/>
                              <w:szCs w:val="18"/>
                            </w:rPr>
                          </w:pPr>
                          <w:r>
                            <w:fldChar w:fldCharType="begin"/>
                          </w:r>
                          <w:r>
                            <w:instrText xml:space="preserve"> PAGE  \* MERGEFORMAT </w:instrText>
                          </w:r>
                          <w:r>
                            <w:fldChar w:fldCharType="separate"/>
                          </w:r>
                          <w:r>
                            <w:t>18</w:t>
                          </w:r>
                          <w:r>
                            <w:fldChar w:fldCharType="end"/>
                          </w:r>
                        </w:p>
                      </w:txbxContent>
                    </wps:txbx>
                    <wps:bodyPr wrap="none" lIns="0" tIns="0" rIns="0" bIns="0" upright="1">
                      <a:spAutoFit/>
                    </wps:bodyPr>
                  </wps:wsp>
                </a:graphicData>
              </a:graphic>
            </wp:anchor>
          </w:drawing>
        </mc:Choice>
        <mc:Fallback>
          <w:pict>
            <v:shape id="文本框 12" o:spid="_x0000_s1026" o:spt="202" type="#_x0000_t202" style="position:absolute;left:0pt;margin-top:0pt;height:12.8pt;width:10.65pt;mso-position-horizontal:center;mso-position-horizontal-relative:margin;mso-wrap-style:none;z-index:251658240;mso-width-relative:page;mso-height-relative:page;" filled="f" stroked="f" coordsize="21600,21600" o:gfxdata="UEsDBAoAAAAAAIdO4kAAAAAAAAAAAAAAAAAEAAAAZHJzL1BLAwQUAAAACACHTuJAH/0cwdEAAAAD AQAADwAAAGRycy9kb3ducmV2LnhtbE2PMU/DMBCFdyT+g3VIbNRJEaUKcTpU6tKNUlVic+NrHGGf I9tNk3/PwQLLPZ3e6b3v6s3knRgxpj6QgnJRgEBqg+mpU3D82D2tQaSsyWgXCBXMmGDT3N/VujLh Ru84HnInOIRSpRXYnIdKytRa9DotwoDE3iVErzOvsZMm6huHeyeXRbGSXvfEDVYPuLXYfh2uXsHr dAo4JNzi52Vso+3ntdvPSj0+lMUbiIxT/juGH3xGh4aZzuFKJgmngB/Jv5O9ZfkM4sz6sgLZ1PI/ e/MNUEsDBBQAAAAIAIdO4kBFAS+XtAEAAEoDAAAOAAAAZHJzL2Uyb0RvYy54bWytU0tu2zAQ3Qfo HQjua1oqbASC5aBFkKJA0QZIegCaIi0C/GFIW/IF2ht01U33PZfP0SFtOf3sgmyo4cxw5r03o9XN aA3ZS4jau5ZWszkl0gnfabdt6ZfHu9fXlMTEXceNd7KlBxnpzfrV1WoIjax9700ngWARF5shtLRP KTSMRdFLy+PMB+kwqDxYnvAKW9YBH7C6Nayez5ds8NAF8ELGiN7bU5CuS32lpEiflYoyEdNSxJbK CeXc5JOtV7zZAg+9FmcY/BkoLNcOm15K3fLEyQ70f6WsFuCjV2kmvGVeKS1k4YBsqvk/bB56HmTh guLEcJEpvlxZ8Wl/D0R3La0pcdziiI7fvx1//Dr+/EqqOuszhNhg2kPAxDS+8yPOefJHdGbaowKb v0iIYByVPlzUlWMiIj96s6gXC0oEhqplvVgW9dnT4wAxvZfekmy0FHB4RVO+/xgTAsHUKSX3cv5O G1MGaNxfDkzMHpaRnxBmK42b8Uxn47sDshlw7i11uJiUmA8OZc0rMhkwGZvJ2AXQ2x6hVQVXDG93 CUEUbLnDqey5MQ6sQD4vV96IP+8l6+kXWP8GUEsDBAoAAAAAAIdO4kAAAAAAAAAAAAAAAAAGAAAA X3JlbHMvUEsDBBQAAAAIAIdO4kCKFGY80QAAAJQBAAALAAAAX3JlbHMvLnJlbHOlkMFqwzAMhu+D vYPRfXGawxijTi+j0GvpHsDYimMaW0Yy2fr28w6DZfS2o36h7xP//vCZFrUiS6RsYNf1oDA78jEH A++X49MLKKk2e7tQRgM3FDiMjw/7My62tiOZYxHVKFkMzLWWV63FzZisdFQwt81EnGxtIwddrLva gHro+2fNvxkwbpjq5A3wyQ+gLrfSzH/YKTomoal2jpKmaYruHlUHtmWO7sg24Ru5RrMcsBrwLBoH alnXfgR9X7/7p97TRz7jutV+h4zrj1dvuhy/AFBLAwQUAAAACACHTuJAfublIPcAAADhAQAAEwAA AFtDb250ZW50X1R5cGVzXS54bWyVkUFOwzAQRfdI3MHyFiVOu0AIJemCtEtAqBxgZE8Si2RseUxo b4+TthtEkVjaM/+/J7vcHMZBTBjYOqrkKi+kQNLOWOoq+b7fZQ9ScAQyMDjCSh6R5aa+vSn3R48s Upq4kn2M/lEp1j2OwLnzSGnSujBCTMfQKQ/6AzpU66K4V9pRRIpZnDtkXTbYwucQxfaQrk8mAQeW 4um0OLMqCd4PVkNMpmoi84OSnQl5Si473FvPd0lDql8J8+Q64Jx7SU8TrEHxCiE+w5g0lAmsjPui gFP+d8lsOXLm2tZqzJvATYq94XSxutaOa9c4/d/y7ZK6dKvlg+pvUEsBAhQAFAAAAAgAh07iQH7m 5SD3AAAA4QEAABMAAAAAAAAAAQAgAAAAHgQAAFtDb250ZW50X1R5cGVzXS54bWxQSwECFAAKAAAA AACHTuJAAAAAAAAAAAAAAAAABgAAAAAAAAAAABAAAAAAAwAAX3JlbHMvUEsBAhQAFAAAAAgAh07i QIoUZjzRAAAAlAEAAAsAAAAAAAAAAQAgAAAAJAMAAF9yZWxzLy5yZWxzUEsBAhQACgAAAAAAh07i QAAAAAAAAAAAAAAAAAQAAAAAAAAAAAAQAAAAAAAAAGRycy9QSwECFAAUAAAACACHTuJAH/0cwdEA AAADAQAADwAAAAAAAAABACAAAAAiAAAAZHJzL2Rvd25yZXYueG1sUEsBAhQAFAAAAAgAh07iQEUB L5e0AQAASgMAAA4AAAAAAAAAAQAgAAAAIAEAAGRycy9lMm9Eb2MueG1sUEsFBgAAAAAGAAYAWQEA AEYFAAAAAA== ">
              <v:fill on="f" focussize="0,0"/>
              <v:stroke on="f"/>
              <v:imagedata o:title=""/>
              <o:lock v:ext="edit" aspectratio="f"/>
              <v:textbox inset="0mm,0mm,0mm,0mm" style="mso-fit-shape-to-text:t;">
                <w:txbxContent>
                  <w:p>
                    <w:pPr>
                      <w:snapToGrid w:val="0"/>
                      <w:rPr>
                        <w:rFonts w:cs="Times New Roman"/>
                        <w:sz w:val="18"/>
                        <w:szCs w:val="18"/>
                      </w:rPr>
                    </w:pPr>
                    <w:r>
                      <w:fldChar w:fldCharType="begin"/>
                    </w:r>
                    <w:r>
                      <w:instrText xml:space="preserve"> PAGE  \* MERGEFORMAT </w:instrText>
                    </w:r>
                    <w:r>
                      <w:fldChar w:fldCharType="separate"/>
                    </w:r>
                    <w:r>
                      <w:t>18</w:t>
                    </w:r>
                    <w:r>
                      <w:fldChar w:fldCharType="end"/>
                    </w:r>
                  </w:p>
                </w:txbxContent>
              </v:textbox>
              <w10:anchorlock/>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D43DA9"/>
    <w:multiLevelType w:val="singleLevel"/>
    <w:tmpl w:val="A3D43DA9"/>
    <w:lvl w:ilvl="0" w:tentative="0">
      <w:start w:val="5"/>
      <w:numFmt w:val="decimal"/>
      <w:suff w:val="space"/>
      <w:lvlText w:val="%1."/>
      <w:lvlJc w:val="left"/>
    </w:lvl>
  </w:abstractNum>
  <w:abstractNum w:abstractNumId="1">
    <w:nsid w:val="089D2538"/>
    <w:multiLevelType w:val="multilevel"/>
    <w:tmpl w:val="089D2538"/>
    <w:lvl w:ilvl="0" w:tentative="0">
      <w:start w:val="2"/>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9A820B7"/>
    <w:multiLevelType w:val="multilevel"/>
    <w:tmpl w:val="09A820B7"/>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3">
    <w:nsid w:val="19BB3ED1"/>
    <w:multiLevelType w:val="multilevel"/>
    <w:tmpl w:val="19BB3ED1"/>
    <w:lvl w:ilvl="0" w:tentative="0">
      <w:start w:val="1"/>
      <w:numFmt w:val="decimal"/>
      <w:lvlText w:val="%1．"/>
      <w:lvlJc w:val="left"/>
      <w:pPr>
        <w:ind w:left="772" w:hanging="360"/>
      </w:pPr>
      <w:rPr>
        <w:rFonts w:hint="default" w:cs="宋体"/>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4">
    <w:nsid w:val="1E39BB33"/>
    <w:multiLevelType w:val="singleLevel"/>
    <w:tmpl w:val="1E39BB33"/>
    <w:lvl w:ilvl="0" w:tentative="0">
      <w:start w:val="2"/>
      <w:numFmt w:val="decimal"/>
      <w:suff w:val="space"/>
      <w:lvlText w:val="%1."/>
      <w:lvlJc w:val="left"/>
    </w:lvl>
  </w:abstractNum>
  <w:abstractNum w:abstractNumId="5">
    <w:nsid w:val="225D6F4E"/>
    <w:multiLevelType w:val="multilevel"/>
    <w:tmpl w:val="225D6F4E"/>
    <w:lvl w:ilvl="0" w:tentative="0">
      <w:start w:val="1"/>
      <w:numFmt w:val="chineseCountingThousand"/>
      <w:suff w:val="nothing"/>
      <w:lvlText w:val="（%1）"/>
      <w:lvlJc w:val="left"/>
      <w:pPr>
        <w:ind w:left="1211" w:hanging="360"/>
      </w:pPr>
      <w:rPr>
        <w:rFonts w:hint="default" w:ascii="Times New Roman" w:hAnsi="Times New Roman" w:eastAsia="宋体"/>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6">
    <w:nsid w:val="23B51FAA"/>
    <w:multiLevelType w:val="multilevel"/>
    <w:tmpl w:val="23B51FA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7">
    <w:nsid w:val="2B521416"/>
    <w:multiLevelType w:val="multilevel"/>
    <w:tmpl w:val="2B52141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2DDC1D6D"/>
    <w:multiLevelType w:val="multilevel"/>
    <w:tmpl w:val="2DDC1D6D"/>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9">
    <w:nsid w:val="397A3D07"/>
    <w:multiLevelType w:val="multilevel"/>
    <w:tmpl w:val="397A3D07"/>
    <w:lvl w:ilvl="0" w:tentative="0">
      <w:start w:val="1"/>
      <w:numFmt w:val="decimal"/>
      <w:lvlText w:val="（%1）"/>
      <w:lvlJc w:val="left"/>
      <w:pPr>
        <w:ind w:left="720" w:hanging="7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0D15568"/>
    <w:multiLevelType w:val="multilevel"/>
    <w:tmpl w:val="40D1556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ascii="宋体" w:hAnsi="宋体" w:eastAsia="宋体" w:cs="宋体"/>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404F3FF"/>
    <w:multiLevelType w:val="singleLevel"/>
    <w:tmpl w:val="5404F3FF"/>
    <w:lvl w:ilvl="0" w:tentative="0">
      <w:start w:val="1"/>
      <w:numFmt w:val="chineseCounting"/>
      <w:suff w:val="nothing"/>
      <w:lvlText w:val="（%1）"/>
      <w:lvlJc w:val="left"/>
      <w:rPr>
        <w:rFonts w:hint="eastAsia"/>
      </w:rPr>
    </w:lvl>
  </w:abstractNum>
  <w:abstractNum w:abstractNumId="12">
    <w:nsid w:val="55C40B18"/>
    <w:multiLevelType w:val="multilevel"/>
    <w:tmpl w:val="55C40B18"/>
    <w:lvl w:ilvl="0" w:tentative="0">
      <w:start w:val="2"/>
      <w:numFmt w:val="decimal"/>
      <w:lvlText w:val="%1."/>
      <w:lvlJc w:val="left"/>
      <w:pPr>
        <w:ind w:left="780" w:hanging="360"/>
      </w:pPr>
      <w:rPr>
        <w:rFonts w:hint="default" w:cs="宋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5708125A"/>
    <w:multiLevelType w:val="multilevel"/>
    <w:tmpl w:val="5708125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4">
    <w:nsid w:val="5B87B9D3"/>
    <w:multiLevelType w:val="singleLevel"/>
    <w:tmpl w:val="5B87B9D3"/>
    <w:lvl w:ilvl="0" w:tentative="0">
      <w:start w:val="4"/>
      <w:numFmt w:val="chineseCounting"/>
      <w:suff w:val="nothing"/>
      <w:lvlText w:val="（%1）"/>
      <w:lvlJc w:val="left"/>
    </w:lvl>
  </w:abstractNum>
  <w:abstractNum w:abstractNumId="15">
    <w:nsid w:val="6A34D7DB"/>
    <w:multiLevelType w:val="singleLevel"/>
    <w:tmpl w:val="6A34D7DB"/>
    <w:lvl w:ilvl="0" w:tentative="0">
      <w:start w:val="1"/>
      <w:numFmt w:val="decimal"/>
      <w:lvlText w:val="%1."/>
      <w:lvlJc w:val="left"/>
      <w:pPr>
        <w:tabs>
          <w:tab w:val="left" w:pos="312"/>
        </w:tabs>
      </w:pPr>
    </w:lvl>
  </w:abstractNum>
  <w:abstractNum w:abstractNumId="16">
    <w:nsid w:val="7A820FCE"/>
    <w:multiLevelType w:val="multilevel"/>
    <w:tmpl w:val="7A820FCE"/>
    <w:lvl w:ilvl="0" w:tentative="0">
      <w:start w:val="5"/>
      <w:numFmt w:val="japaneseCounting"/>
      <w:lvlText w:val="（%1）"/>
      <w:lvlJc w:val="left"/>
      <w:pPr>
        <w:ind w:left="1144" w:hanging="720"/>
      </w:pPr>
      <w:rPr>
        <w:rFonts w:hint="default" w:cs="宋体"/>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num w:numId="1">
    <w:abstractNumId w:val="10"/>
  </w:num>
  <w:num w:numId="2">
    <w:abstractNumId w:val="15"/>
  </w:num>
  <w:num w:numId="3">
    <w:abstractNumId w:val="14"/>
  </w:num>
  <w:num w:numId="4">
    <w:abstractNumId w:val="4"/>
  </w:num>
  <w:num w:numId="5">
    <w:abstractNumId w:val="9"/>
  </w:num>
  <w:num w:numId="6">
    <w:abstractNumId w:val="0"/>
  </w:num>
  <w:num w:numId="7">
    <w:abstractNumId w:val="1"/>
  </w:num>
  <w:num w:numId="8">
    <w:abstractNumId w:val="7"/>
  </w:num>
  <w:num w:numId="9">
    <w:abstractNumId w:val="2"/>
  </w:num>
  <w:num w:numId="10">
    <w:abstractNumId w:val="6"/>
  </w:num>
  <w:num w:numId="11">
    <w:abstractNumId w:val="8"/>
  </w:num>
  <w:num w:numId="12">
    <w:abstractNumId w:val="16"/>
  </w:num>
  <w:num w:numId="13">
    <w:abstractNumId w:val="3"/>
  </w:num>
  <w:num w:numId="14">
    <w:abstractNumId w:val="12"/>
  </w:num>
  <w:num w:numId="15">
    <w:abstractNumId w:val="13"/>
  </w:num>
  <w:num w:numId="16">
    <w:abstractNumId w:val="5"/>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attachedTemplate r:id="rId1"/>
  <w:documentProtection w:edit="forms" w:enforcement="0"/>
  <w:defaultTabStop w:val="420"/>
  <w:drawingGridHorizontalSpacing w:val="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25B"/>
    <w:rsid w:val="000074CB"/>
    <w:rsid w:val="00016DEF"/>
    <w:rsid w:val="0003494A"/>
    <w:rsid w:val="00036C6B"/>
    <w:rsid w:val="0004400E"/>
    <w:rsid w:val="000609C9"/>
    <w:rsid w:val="000A03E4"/>
    <w:rsid w:val="000A191B"/>
    <w:rsid w:val="000B0053"/>
    <w:rsid w:val="000B1CF9"/>
    <w:rsid w:val="000B1EBB"/>
    <w:rsid w:val="000B5964"/>
    <w:rsid w:val="000D706F"/>
    <w:rsid w:val="000E0C80"/>
    <w:rsid w:val="000E1225"/>
    <w:rsid w:val="000E251A"/>
    <w:rsid w:val="00102B1D"/>
    <w:rsid w:val="00104207"/>
    <w:rsid w:val="00106F8A"/>
    <w:rsid w:val="00130E15"/>
    <w:rsid w:val="0013535F"/>
    <w:rsid w:val="00152C9F"/>
    <w:rsid w:val="00156B28"/>
    <w:rsid w:val="00163E6B"/>
    <w:rsid w:val="0016452E"/>
    <w:rsid w:val="001645E5"/>
    <w:rsid w:val="00165A5F"/>
    <w:rsid w:val="0017046E"/>
    <w:rsid w:val="00171512"/>
    <w:rsid w:val="00172A27"/>
    <w:rsid w:val="00172CD3"/>
    <w:rsid w:val="00174483"/>
    <w:rsid w:val="0019157B"/>
    <w:rsid w:val="00193263"/>
    <w:rsid w:val="001934D8"/>
    <w:rsid w:val="00194038"/>
    <w:rsid w:val="00197B45"/>
    <w:rsid w:val="001A446B"/>
    <w:rsid w:val="001B0472"/>
    <w:rsid w:val="001B1761"/>
    <w:rsid w:val="001B2DF4"/>
    <w:rsid w:val="001B3F9D"/>
    <w:rsid w:val="001C0514"/>
    <w:rsid w:val="001D1ADF"/>
    <w:rsid w:val="001D237B"/>
    <w:rsid w:val="001D566A"/>
    <w:rsid w:val="001D7128"/>
    <w:rsid w:val="001E38D0"/>
    <w:rsid w:val="001E3F30"/>
    <w:rsid w:val="001F29C9"/>
    <w:rsid w:val="00210B24"/>
    <w:rsid w:val="00211131"/>
    <w:rsid w:val="00223672"/>
    <w:rsid w:val="00223734"/>
    <w:rsid w:val="002244F2"/>
    <w:rsid w:val="002256AF"/>
    <w:rsid w:val="002325B7"/>
    <w:rsid w:val="00237C4A"/>
    <w:rsid w:val="00242BAA"/>
    <w:rsid w:val="002470B8"/>
    <w:rsid w:val="002479C3"/>
    <w:rsid w:val="0027745F"/>
    <w:rsid w:val="002952E7"/>
    <w:rsid w:val="00297F9D"/>
    <w:rsid w:val="002A0433"/>
    <w:rsid w:val="002A272B"/>
    <w:rsid w:val="002B065D"/>
    <w:rsid w:val="002B6E5C"/>
    <w:rsid w:val="002C1918"/>
    <w:rsid w:val="002C7990"/>
    <w:rsid w:val="002D09F6"/>
    <w:rsid w:val="002D235A"/>
    <w:rsid w:val="002E15F9"/>
    <w:rsid w:val="002E6900"/>
    <w:rsid w:val="00307948"/>
    <w:rsid w:val="00320468"/>
    <w:rsid w:val="003228FE"/>
    <w:rsid w:val="00331D83"/>
    <w:rsid w:val="0035187C"/>
    <w:rsid w:val="0035659B"/>
    <w:rsid w:val="00361973"/>
    <w:rsid w:val="00365440"/>
    <w:rsid w:val="00367EA2"/>
    <w:rsid w:val="00375348"/>
    <w:rsid w:val="0038273A"/>
    <w:rsid w:val="00384A29"/>
    <w:rsid w:val="003A539B"/>
    <w:rsid w:val="003B0D21"/>
    <w:rsid w:val="003B2DFE"/>
    <w:rsid w:val="003B3810"/>
    <w:rsid w:val="003B5FDA"/>
    <w:rsid w:val="003B6960"/>
    <w:rsid w:val="003B72A8"/>
    <w:rsid w:val="003D37F3"/>
    <w:rsid w:val="003D39F2"/>
    <w:rsid w:val="003E5AF8"/>
    <w:rsid w:val="003F357F"/>
    <w:rsid w:val="003F5069"/>
    <w:rsid w:val="004036BF"/>
    <w:rsid w:val="004039EF"/>
    <w:rsid w:val="00416162"/>
    <w:rsid w:val="004228DA"/>
    <w:rsid w:val="00427991"/>
    <w:rsid w:val="004310E7"/>
    <w:rsid w:val="004316D0"/>
    <w:rsid w:val="00435D3F"/>
    <w:rsid w:val="0044304F"/>
    <w:rsid w:val="004431A1"/>
    <w:rsid w:val="004514C8"/>
    <w:rsid w:val="0045182C"/>
    <w:rsid w:val="00451910"/>
    <w:rsid w:val="004532E9"/>
    <w:rsid w:val="00454783"/>
    <w:rsid w:val="00473DB7"/>
    <w:rsid w:val="00483AEC"/>
    <w:rsid w:val="00493C19"/>
    <w:rsid w:val="0049467D"/>
    <w:rsid w:val="00494B69"/>
    <w:rsid w:val="00496C62"/>
    <w:rsid w:val="004975FD"/>
    <w:rsid w:val="004A46C8"/>
    <w:rsid w:val="004B15EB"/>
    <w:rsid w:val="004C4787"/>
    <w:rsid w:val="004C4B64"/>
    <w:rsid w:val="004D66F1"/>
    <w:rsid w:val="004D6A45"/>
    <w:rsid w:val="004D704D"/>
    <w:rsid w:val="004E0BEC"/>
    <w:rsid w:val="004E2F89"/>
    <w:rsid w:val="004E5D5E"/>
    <w:rsid w:val="004F3050"/>
    <w:rsid w:val="004F3D2D"/>
    <w:rsid w:val="005056AF"/>
    <w:rsid w:val="0051217C"/>
    <w:rsid w:val="00514F54"/>
    <w:rsid w:val="00523DCE"/>
    <w:rsid w:val="005400CC"/>
    <w:rsid w:val="005477C0"/>
    <w:rsid w:val="00553C91"/>
    <w:rsid w:val="00555622"/>
    <w:rsid w:val="0055632F"/>
    <w:rsid w:val="0056715F"/>
    <w:rsid w:val="00567FC0"/>
    <w:rsid w:val="005819B9"/>
    <w:rsid w:val="00581BD2"/>
    <w:rsid w:val="0058288B"/>
    <w:rsid w:val="00587CF5"/>
    <w:rsid w:val="00587D42"/>
    <w:rsid w:val="005A3ADE"/>
    <w:rsid w:val="005A7AAD"/>
    <w:rsid w:val="005B0EBD"/>
    <w:rsid w:val="005B1F0B"/>
    <w:rsid w:val="005B22CD"/>
    <w:rsid w:val="005D0E2E"/>
    <w:rsid w:val="005D1025"/>
    <w:rsid w:val="005E5D3A"/>
    <w:rsid w:val="005E5EA5"/>
    <w:rsid w:val="005E7CF4"/>
    <w:rsid w:val="005F1215"/>
    <w:rsid w:val="005F2A21"/>
    <w:rsid w:val="00610019"/>
    <w:rsid w:val="006154E3"/>
    <w:rsid w:val="00621A1C"/>
    <w:rsid w:val="00625776"/>
    <w:rsid w:val="00644885"/>
    <w:rsid w:val="006570EB"/>
    <w:rsid w:val="00662E82"/>
    <w:rsid w:val="00671719"/>
    <w:rsid w:val="006743C1"/>
    <w:rsid w:val="00676A98"/>
    <w:rsid w:val="00681C0C"/>
    <w:rsid w:val="00696927"/>
    <w:rsid w:val="006A2B09"/>
    <w:rsid w:val="006A677E"/>
    <w:rsid w:val="006B4663"/>
    <w:rsid w:val="006C103F"/>
    <w:rsid w:val="006C21C7"/>
    <w:rsid w:val="006C64B9"/>
    <w:rsid w:val="006C7B62"/>
    <w:rsid w:val="006D5112"/>
    <w:rsid w:val="006E4BB6"/>
    <w:rsid w:val="006E4CDD"/>
    <w:rsid w:val="006E51ED"/>
    <w:rsid w:val="006E63CC"/>
    <w:rsid w:val="006F6194"/>
    <w:rsid w:val="00700EDD"/>
    <w:rsid w:val="00702CDC"/>
    <w:rsid w:val="00707360"/>
    <w:rsid w:val="00721B8F"/>
    <w:rsid w:val="00723931"/>
    <w:rsid w:val="00737083"/>
    <w:rsid w:val="00742E8B"/>
    <w:rsid w:val="007604FB"/>
    <w:rsid w:val="00763431"/>
    <w:rsid w:val="00766E4D"/>
    <w:rsid w:val="007672AB"/>
    <w:rsid w:val="00783867"/>
    <w:rsid w:val="00786111"/>
    <w:rsid w:val="00793E73"/>
    <w:rsid w:val="007A110D"/>
    <w:rsid w:val="007A3E6C"/>
    <w:rsid w:val="007C0135"/>
    <w:rsid w:val="007C1F4A"/>
    <w:rsid w:val="007D1D05"/>
    <w:rsid w:val="007D1EED"/>
    <w:rsid w:val="007E0AA6"/>
    <w:rsid w:val="007E0BB7"/>
    <w:rsid w:val="007E1CB3"/>
    <w:rsid w:val="007E43C7"/>
    <w:rsid w:val="007E46A6"/>
    <w:rsid w:val="007E7822"/>
    <w:rsid w:val="007F219A"/>
    <w:rsid w:val="007F388A"/>
    <w:rsid w:val="007F3DDB"/>
    <w:rsid w:val="00816222"/>
    <w:rsid w:val="00832AD7"/>
    <w:rsid w:val="00843CFD"/>
    <w:rsid w:val="008625D8"/>
    <w:rsid w:val="008639A4"/>
    <w:rsid w:val="008665BF"/>
    <w:rsid w:val="008700BB"/>
    <w:rsid w:val="008757F6"/>
    <w:rsid w:val="00881607"/>
    <w:rsid w:val="008828B3"/>
    <w:rsid w:val="00883312"/>
    <w:rsid w:val="00883C12"/>
    <w:rsid w:val="0089028C"/>
    <w:rsid w:val="00890D50"/>
    <w:rsid w:val="00895CC8"/>
    <w:rsid w:val="008B045C"/>
    <w:rsid w:val="008B29AC"/>
    <w:rsid w:val="008B4135"/>
    <w:rsid w:val="008B648E"/>
    <w:rsid w:val="008C2A67"/>
    <w:rsid w:val="008C4802"/>
    <w:rsid w:val="008D1673"/>
    <w:rsid w:val="008D554B"/>
    <w:rsid w:val="008E61A5"/>
    <w:rsid w:val="008F0AF2"/>
    <w:rsid w:val="008F4186"/>
    <w:rsid w:val="008F46F8"/>
    <w:rsid w:val="008F4E66"/>
    <w:rsid w:val="008F73FD"/>
    <w:rsid w:val="009011C0"/>
    <w:rsid w:val="0091212F"/>
    <w:rsid w:val="009138EE"/>
    <w:rsid w:val="00925573"/>
    <w:rsid w:val="00926EF6"/>
    <w:rsid w:val="00940D7C"/>
    <w:rsid w:val="00952DC1"/>
    <w:rsid w:val="0095704C"/>
    <w:rsid w:val="0096259A"/>
    <w:rsid w:val="00984B2D"/>
    <w:rsid w:val="009858B4"/>
    <w:rsid w:val="00994D9E"/>
    <w:rsid w:val="009A1F15"/>
    <w:rsid w:val="009B1178"/>
    <w:rsid w:val="009C42ED"/>
    <w:rsid w:val="009C4710"/>
    <w:rsid w:val="009D4471"/>
    <w:rsid w:val="009D5443"/>
    <w:rsid w:val="009E4B6C"/>
    <w:rsid w:val="009E7D2F"/>
    <w:rsid w:val="009F27CB"/>
    <w:rsid w:val="00A02EC9"/>
    <w:rsid w:val="00A05D0A"/>
    <w:rsid w:val="00A06CC7"/>
    <w:rsid w:val="00A12D67"/>
    <w:rsid w:val="00A13E04"/>
    <w:rsid w:val="00A14885"/>
    <w:rsid w:val="00A20A90"/>
    <w:rsid w:val="00A33FC7"/>
    <w:rsid w:val="00A377BE"/>
    <w:rsid w:val="00A37E45"/>
    <w:rsid w:val="00A4139F"/>
    <w:rsid w:val="00A53627"/>
    <w:rsid w:val="00A6012C"/>
    <w:rsid w:val="00A630D8"/>
    <w:rsid w:val="00A649D3"/>
    <w:rsid w:val="00A661D7"/>
    <w:rsid w:val="00A720AA"/>
    <w:rsid w:val="00A753E0"/>
    <w:rsid w:val="00A852DE"/>
    <w:rsid w:val="00AB38E1"/>
    <w:rsid w:val="00AC4B09"/>
    <w:rsid w:val="00AD19B0"/>
    <w:rsid w:val="00AD7757"/>
    <w:rsid w:val="00AE4F4F"/>
    <w:rsid w:val="00AE6EBA"/>
    <w:rsid w:val="00AF7962"/>
    <w:rsid w:val="00B015B4"/>
    <w:rsid w:val="00B06516"/>
    <w:rsid w:val="00B1085F"/>
    <w:rsid w:val="00B122E9"/>
    <w:rsid w:val="00B23C5F"/>
    <w:rsid w:val="00B23E6A"/>
    <w:rsid w:val="00B35785"/>
    <w:rsid w:val="00B42EBD"/>
    <w:rsid w:val="00B52F4D"/>
    <w:rsid w:val="00B56811"/>
    <w:rsid w:val="00B6032F"/>
    <w:rsid w:val="00B728F3"/>
    <w:rsid w:val="00B77569"/>
    <w:rsid w:val="00B9230B"/>
    <w:rsid w:val="00BB0B22"/>
    <w:rsid w:val="00BB350D"/>
    <w:rsid w:val="00BB66A3"/>
    <w:rsid w:val="00BC27CF"/>
    <w:rsid w:val="00BD0A91"/>
    <w:rsid w:val="00BD4DA8"/>
    <w:rsid w:val="00BE60AD"/>
    <w:rsid w:val="00BE66F2"/>
    <w:rsid w:val="00BE78DA"/>
    <w:rsid w:val="00BF46BC"/>
    <w:rsid w:val="00BF4D3F"/>
    <w:rsid w:val="00BF6CC1"/>
    <w:rsid w:val="00C0199E"/>
    <w:rsid w:val="00C036B0"/>
    <w:rsid w:val="00C050D1"/>
    <w:rsid w:val="00C16230"/>
    <w:rsid w:val="00C23766"/>
    <w:rsid w:val="00C27E87"/>
    <w:rsid w:val="00C32A88"/>
    <w:rsid w:val="00C41762"/>
    <w:rsid w:val="00C655F7"/>
    <w:rsid w:val="00C72518"/>
    <w:rsid w:val="00C72CF4"/>
    <w:rsid w:val="00C77A74"/>
    <w:rsid w:val="00C8005D"/>
    <w:rsid w:val="00C849A4"/>
    <w:rsid w:val="00C86741"/>
    <w:rsid w:val="00C93021"/>
    <w:rsid w:val="00CA3121"/>
    <w:rsid w:val="00CA4667"/>
    <w:rsid w:val="00CB5BB6"/>
    <w:rsid w:val="00CB68D3"/>
    <w:rsid w:val="00CC65F7"/>
    <w:rsid w:val="00CC6CB3"/>
    <w:rsid w:val="00CD2D0D"/>
    <w:rsid w:val="00CD46C1"/>
    <w:rsid w:val="00CE784C"/>
    <w:rsid w:val="00D0465E"/>
    <w:rsid w:val="00D10AE7"/>
    <w:rsid w:val="00D26643"/>
    <w:rsid w:val="00D37D6C"/>
    <w:rsid w:val="00D41D28"/>
    <w:rsid w:val="00D46723"/>
    <w:rsid w:val="00D46C85"/>
    <w:rsid w:val="00D473AF"/>
    <w:rsid w:val="00D5034B"/>
    <w:rsid w:val="00D52EBC"/>
    <w:rsid w:val="00D55C4E"/>
    <w:rsid w:val="00D81A70"/>
    <w:rsid w:val="00D849A7"/>
    <w:rsid w:val="00D92EDE"/>
    <w:rsid w:val="00DB1717"/>
    <w:rsid w:val="00DB2635"/>
    <w:rsid w:val="00DB5D8B"/>
    <w:rsid w:val="00DB735D"/>
    <w:rsid w:val="00DC4068"/>
    <w:rsid w:val="00DC4D62"/>
    <w:rsid w:val="00DD29BD"/>
    <w:rsid w:val="00DD7779"/>
    <w:rsid w:val="00DE27A1"/>
    <w:rsid w:val="00DE3A2C"/>
    <w:rsid w:val="00DE4189"/>
    <w:rsid w:val="00DE572F"/>
    <w:rsid w:val="00DE5CC6"/>
    <w:rsid w:val="00DF4E0D"/>
    <w:rsid w:val="00E02B43"/>
    <w:rsid w:val="00E1035F"/>
    <w:rsid w:val="00E10BDC"/>
    <w:rsid w:val="00E15330"/>
    <w:rsid w:val="00E2281C"/>
    <w:rsid w:val="00E2364C"/>
    <w:rsid w:val="00E37956"/>
    <w:rsid w:val="00E43308"/>
    <w:rsid w:val="00E63DF1"/>
    <w:rsid w:val="00E63F14"/>
    <w:rsid w:val="00E64867"/>
    <w:rsid w:val="00E925FC"/>
    <w:rsid w:val="00EA32B0"/>
    <w:rsid w:val="00EB6780"/>
    <w:rsid w:val="00EC4B8A"/>
    <w:rsid w:val="00ED2623"/>
    <w:rsid w:val="00ED71EA"/>
    <w:rsid w:val="00ED7EE4"/>
    <w:rsid w:val="00EF07DF"/>
    <w:rsid w:val="00EF3A73"/>
    <w:rsid w:val="00F32D6F"/>
    <w:rsid w:val="00F34E58"/>
    <w:rsid w:val="00F35C42"/>
    <w:rsid w:val="00F35EA2"/>
    <w:rsid w:val="00F5506D"/>
    <w:rsid w:val="00F62A37"/>
    <w:rsid w:val="00F659C2"/>
    <w:rsid w:val="00F661B5"/>
    <w:rsid w:val="00F81D67"/>
    <w:rsid w:val="00F85512"/>
    <w:rsid w:val="00F94B26"/>
    <w:rsid w:val="00FA581E"/>
    <w:rsid w:val="00FB0DC4"/>
    <w:rsid w:val="00FD0659"/>
    <w:rsid w:val="00FD1AE6"/>
    <w:rsid w:val="00FD4172"/>
    <w:rsid w:val="00FD4749"/>
    <w:rsid w:val="00FD73AF"/>
    <w:rsid w:val="00FF2484"/>
    <w:rsid w:val="00FF3845"/>
    <w:rsid w:val="00FF6507"/>
    <w:rsid w:val="01560D55"/>
    <w:rsid w:val="01FB1F32"/>
    <w:rsid w:val="02C57AC3"/>
    <w:rsid w:val="02CA2F87"/>
    <w:rsid w:val="038269B5"/>
    <w:rsid w:val="04CD156A"/>
    <w:rsid w:val="05323B4A"/>
    <w:rsid w:val="064B0E6C"/>
    <w:rsid w:val="06E36B07"/>
    <w:rsid w:val="09103769"/>
    <w:rsid w:val="09A561EF"/>
    <w:rsid w:val="09AC6127"/>
    <w:rsid w:val="0F0043BB"/>
    <w:rsid w:val="1241381F"/>
    <w:rsid w:val="13842138"/>
    <w:rsid w:val="14181DC5"/>
    <w:rsid w:val="155D0FAE"/>
    <w:rsid w:val="15605C7E"/>
    <w:rsid w:val="17D75757"/>
    <w:rsid w:val="1803172C"/>
    <w:rsid w:val="18115D76"/>
    <w:rsid w:val="194950A1"/>
    <w:rsid w:val="1B4B2D82"/>
    <w:rsid w:val="1B8B2D6E"/>
    <w:rsid w:val="1D4B4659"/>
    <w:rsid w:val="1DA941EB"/>
    <w:rsid w:val="204B4000"/>
    <w:rsid w:val="21556519"/>
    <w:rsid w:val="21AE43C0"/>
    <w:rsid w:val="24690302"/>
    <w:rsid w:val="24B6088C"/>
    <w:rsid w:val="25446C03"/>
    <w:rsid w:val="27260C26"/>
    <w:rsid w:val="27660D0E"/>
    <w:rsid w:val="28FB441D"/>
    <w:rsid w:val="29397963"/>
    <w:rsid w:val="29E37A3B"/>
    <w:rsid w:val="29F0754D"/>
    <w:rsid w:val="2CCF7E88"/>
    <w:rsid w:val="2CF11704"/>
    <w:rsid w:val="2D400CA8"/>
    <w:rsid w:val="2D45719C"/>
    <w:rsid w:val="2DEC75F3"/>
    <w:rsid w:val="2E0B2CD2"/>
    <w:rsid w:val="2F441FAF"/>
    <w:rsid w:val="30E90FE8"/>
    <w:rsid w:val="31613427"/>
    <w:rsid w:val="32C55323"/>
    <w:rsid w:val="33994134"/>
    <w:rsid w:val="34FE2ED5"/>
    <w:rsid w:val="355620DF"/>
    <w:rsid w:val="35892A55"/>
    <w:rsid w:val="35AD2E8C"/>
    <w:rsid w:val="3AEA3336"/>
    <w:rsid w:val="3BA24BB0"/>
    <w:rsid w:val="3C6513F4"/>
    <w:rsid w:val="3CEE1BB4"/>
    <w:rsid w:val="3FCB3B1C"/>
    <w:rsid w:val="3FFC0B92"/>
    <w:rsid w:val="40F34025"/>
    <w:rsid w:val="42095E66"/>
    <w:rsid w:val="433D1B9E"/>
    <w:rsid w:val="43910FDF"/>
    <w:rsid w:val="45111D82"/>
    <w:rsid w:val="481B099C"/>
    <w:rsid w:val="481B3050"/>
    <w:rsid w:val="4ACA4F6B"/>
    <w:rsid w:val="4D6E1BF8"/>
    <w:rsid w:val="50DD7DA0"/>
    <w:rsid w:val="510826B2"/>
    <w:rsid w:val="511A5D92"/>
    <w:rsid w:val="52EC289B"/>
    <w:rsid w:val="582B1D81"/>
    <w:rsid w:val="5A6F4BA4"/>
    <w:rsid w:val="5A726ACA"/>
    <w:rsid w:val="5BE91D19"/>
    <w:rsid w:val="5C04262D"/>
    <w:rsid w:val="5C646810"/>
    <w:rsid w:val="5CEF711D"/>
    <w:rsid w:val="5E7332FD"/>
    <w:rsid w:val="60056EC4"/>
    <w:rsid w:val="62C16DB1"/>
    <w:rsid w:val="64016D27"/>
    <w:rsid w:val="641D1425"/>
    <w:rsid w:val="641E5B9B"/>
    <w:rsid w:val="64EA430A"/>
    <w:rsid w:val="64FA2D6C"/>
    <w:rsid w:val="662C6033"/>
    <w:rsid w:val="665B0656"/>
    <w:rsid w:val="687C4CDA"/>
    <w:rsid w:val="689A03C5"/>
    <w:rsid w:val="69150AA8"/>
    <w:rsid w:val="69F2084C"/>
    <w:rsid w:val="6B191214"/>
    <w:rsid w:val="6B503609"/>
    <w:rsid w:val="6BB97DF1"/>
    <w:rsid w:val="6BE12EF7"/>
    <w:rsid w:val="6C361A89"/>
    <w:rsid w:val="6C6A476A"/>
    <w:rsid w:val="6CFB1020"/>
    <w:rsid w:val="6E05628E"/>
    <w:rsid w:val="6E2F7ED0"/>
    <w:rsid w:val="6F753A43"/>
    <w:rsid w:val="73674B3B"/>
    <w:rsid w:val="73E23960"/>
    <w:rsid w:val="73FF7F43"/>
    <w:rsid w:val="74317E8C"/>
    <w:rsid w:val="774A6ECC"/>
    <w:rsid w:val="78E860BE"/>
    <w:rsid w:val="7B69328D"/>
    <w:rsid w:val="7BC772EF"/>
    <w:rsid w:val="7BF64F08"/>
    <w:rsid w:val="7C055543"/>
    <w:rsid w:val="7C1927D1"/>
    <w:rsid w:val="7F9B25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sdException w:qFormat="1" w:unhideWhenUsed="0" w:uiPriority="0"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ocked="1"/>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99" w:name="annotation reference"/>
    <w:lsdException w:uiPriority="0" w:name="line number"/>
    <w:lsdException w:qFormat="1" w:unhideWhenUsed="0" w:uiPriority="99"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99"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ocked="1"/>
    <w:lsdException w:qFormat="1" w:unhideWhenUsed="0" w:uiPriority="20" w:semiHidden="0" w:name="Emphasis" w:locked="1"/>
    <w:lsdException w:qFormat="1" w:unhideWhenUsed="0" w:uiPriority="99"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4"/>
    <w:qFormat/>
    <w:uiPriority w:val="99"/>
    <w:pPr>
      <w:keepNext/>
      <w:keepLines/>
      <w:spacing w:line="520" w:lineRule="exact"/>
      <w:outlineLvl w:val="0"/>
    </w:pPr>
    <w:rPr>
      <w:rFonts w:cs="Times New Roman"/>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Document Map"/>
    <w:basedOn w:val="1"/>
    <w:link w:val="27"/>
    <w:semiHidden/>
    <w:qFormat/>
    <w:uiPriority w:val="99"/>
    <w:rPr>
      <w:rFonts w:ascii="宋体" w:cs="Times New Roman"/>
      <w:kern w:val="0"/>
      <w:sz w:val="18"/>
      <w:szCs w:val="18"/>
    </w:rPr>
  </w:style>
  <w:style w:type="paragraph" w:styleId="4">
    <w:name w:val="annotation text"/>
    <w:basedOn w:val="1"/>
    <w:link w:val="19"/>
    <w:semiHidden/>
    <w:qFormat/>
    <w:uiPriority w:val="99"/>
    <w:pPr>
      <w:jc w:val="left"/>
    </w:pPr>
    <w:rPr>
      <w:rFonts w:cs="Times New Roman"/>
      <w:kern w:val="0"/>
    </w:rPr>
  </w:style>
  <w:style w:type="paragraph" w:styleId="5">
    <w:name w:val="Balloon Text"/>
    <w:basedOn w:val="1"/>
    <w:link w:val="28"/>
    <w:semiHidden/>
    <w:qFormat/>
    <w:uiPriority w:val="99"/>
    <w:rPr>
      <w:rFonts w:cs="Times New Roman"/>
      <w:kern w:val="0"/>
      <w:sz w:val="18"/>
      <w:szCs w:val="18"/>
    </w:rPr>
  </w:style>
  <w:style w:type="paragraph" w:styleId="6">
    <w:name w:val="footer"/>
    <w:basedOn w:val="1"/>
    <w:link w:val="25"/>
    <w:qFormat/>
    <w:uiPriority w:val="99"/>
    <w:pPr>
      <w:tabs>
        <w:tab w:val="center" w:pos="4153"/>
        <w:tab w:val="right" w:pos="8306"/>
      </w:tabs>
      <w:snapToGrid w:val="0"/>
      <w:jc w:val="left"/>
    </w:pPr>
    <w:rPr>
      <w:rFonts w:cs="Times New Roman"/>
      <w:kern w:val="0"/>
      <w:sz w:val="18"/>
      <w:szCs w:val="18"/>
    </w:rPr>
  </w:style>
  <w:style w:type="paragraph" w:styleId="7">
    <w:name w:val="header"/>
    <w:basedOn w:val="1"/>
    <w:link w:val="26"/>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8">
    <w:name w:val="Subtitle"/>
    <w:basedOn w:val="1"/>
    <w:next w:val="1"/>
    <w:link w:val="22"/>
    <w:qFormat/>
    <w:uiPriority w:val="99"/>
    <w:pPr>
      <w:spacing w:before="240" w:after="60" w:line="312" w:lineRule="auto"/>
      <w:jc w:val="center"/>
      <w:outlineLvl w:val="1"/>
    </w:pPr>
    <w:rPr>
      <w:rFonts w:ascii="Cambria" w:hAnsi="Cambria" w:cs="Times New Roman"/>
      <w:b/>
      <w:bCs/>
      <w:kern w:val="28"/>
      <w:sz w:val="32"/>
      <w:szCs w:val="32"/>
    </w:rPr>
  </w:style>
  <w:style w:type="paragraph" w:styleId="9">
    <w:name w:val="footnote text"/>
    <w:basedOn w:val="1"/>
    <w:link w:val="33"/>
    <w:qFormat/>
    <w:uiPriority w:val="0"/>
    <w:pPr>
      <w:snapToGrid w:val="0"/>
      <w:jc w:val="left"/>
    </w:pPr>
    <w:rPr>
      <w:rFonts w:cs="Times New Roman"/>
      <w:sz w:val="18"/>
      <w:szCs w:val="18"/>
    </w:rPr>
  </w:style>
  <w:style w:type="paragraph" w:styleId="10">
    <w:name w:val="Normal (Web)"/>
    <w:basedOn w:val="1"/>
    <w:unhideWhenUsed/>
    <w:qFormat/>
    <w:uiPriority w:val="99"/>
    <w:rPr>
      <w:rFonts w:ascii="Times New Roman" w:hAnsi="Times New Roman" w:cs="Times New Roman"/>
      <w:sz w:val="24"/>
      <w:szCs w:val="20"/>
    </w:rPr>
  </w:style>
  <w:style w:type="paragraph" w:styleId="11">
    <w:name w:val="Title"/>
    <w:basedOn w:val="1"/>
    <w:next w:val="1"/>
    <w:link w:val="21"/>
    <w:qFormat/>
    <w:uiPriority w:val="99"/>
    <w:pPr>
      <w:spacing w:before="240" w:after="60"/>
      <w:jc w:val="center"/>
      <w:outlineLvl w:val="0"/>
    </w:pPr>
    <w:rPr>
      <w:rFonts w:ascii="Cambria" w:hAnsi="Cambria" w:cs="Times New Roman"/>
      <w:b/>
      <w:bCs/>
      <w:kern w:val="0"/>
      <w:sz w:val="32"/>
      <w:szCs w:val="32"/>
    </w:rPr>
  </w:style>
  <w:style w:type="paragraph" w:styleId="12">
    <w:name w:val="annotation subject"/>
    <w:basedOn w:val="4"/>
    <w:next w:val="4"/>
    <w:link w:val="20"/>
    <w:semiHidden/>
    <w:qFormat/>
    <w:uiPriority w:val="99"/>
    <w:rPr>
      <w:b/>
      <w:bCs/>
    </w:rPr>
  </w:style>
  <w:style w:type="character" w:styleId="15">
    <w:name w:val="page number"/>
    <w:basedOn w:val="14"/>
    <w:qFormat/>
    <w:uiPriority w:val="99"/>
  </w:style>
  <w:style w:type="character" w:styleId="16">
    <w:name w:val="Hyperlink"/>
    <w:qFormat/>
    <w:uiPriority w:val="99"/>
    <w:rPr>
      <w:color w:val="0000FF"/>
      <w:u w:val="single"/>
    </w:rPr>
  </w:style>
  <w:style w:type="character" w:styleId="17">
    <w:name w:val="annotation reference"/>
    <w:semiHidden/>
    <w:qFormat/>
    <w:uiPriority w:val="99"/>
    <w:rPr>
      <w:sz w:val="21"/>
      <w:szCs w:val="21"/>
    </w:rPr>
  </w:style>
  <w:style w:type="character" w:styleId="18">
    <w:name w:val="footnote reference"/>
    <w:qFormat/>
    <w:uiPriority w:val="0"/>
    <w:rPr>
      <w:vertAlign w:val="superscript"/>
    </w:rPr>
  </w:style>
  <w:style w:type="character" w:customStyle="1" w:styleId="19">
    <w:name w:val="批注文字 Char"/>
    <w:link w:val="4"/>
    <w:semiHidden/>
    <w:qFormat/>
    <w:locked/>
    <w:uiPriority w:val="99"/>
    <w:rPr>
      <w:rFonts w:ascii="Calibri" w:hAnsi="Calibri" w:eastAsia="宋体" w:cs="Calibri"/>
      <w:sz w:val="21"/>
      <w:szCs w:val="21"/>
    </w:rPr>
  </w:style>
  <w:style w:type="character" w:customStyle="1" w:styleId="20">
    <w:name w:val="批注主题 Char"/>
    <w:link w:val="12"/>
    <w:semiHidden/>
    <w:qFormat/>
    <w:locked/>
    <w:uiPriority w:val="99"/>
    <w:rPr>
      <w:rFonts w:ascii="Calibri" w:hAnsi="Calibri" w:eastAsia="宋体" w:cs="Calibri"/>
      <w:b/>
      <w:bCs/>
      <w:sz w:val="21"/>
      <w:szCs w:val="21"/>
    </w:rPr>
  </w:style>
  <w:style w:type="character" w:customStyle="1" w:styleId="21">
    <w:name w:val="标题 Char"/>
    <w:link w:val="11"/>
    <w:qFormat/>
    <w:locked/>
    <w:uiPriority w:val="99"/>
    <w:rPr>
      <w:rFonts w:ascii="Cambria" w:hAnsi="Cambria" w:eastAsia="宋体" w:cs="Cambria"/>
      <w:b/>
      <w:bCs/>
      <w:sz w:val="32"/>
      <w:szCs w:val="32"/>
    </w:rPr>
  </w:style>
  <w:style w:type="character" w:customStyle="1" w:styleId="22">
    <w:name w:val="副标题 Char"/>
    <w:link w:val="8"/>
    <w:qFormat/>
    <w:locked/>
    <w:uiPriority w:val="99"/>
    <w:rPr>
      <w:rFonts w:ascii="Cambria" w:hAnsi="Cambria" w:eastAsia="宋体" w:cs="Cambria"/>
      <w:b/>
      <w:bCs/>
      <w:kern w:val="28"/>
      <w:sz w:val="32"/>
      <w:szCs w:val="32"/>
    </w:rPr>
  </w:style>
  <w:style w:type="character" w:customStyle="1" w:styleId="23">
    <w:name w:val="未处理的提及1"/>
    <w:unhideWhenUsed/>
    <w:qFormat/>
    <w:uiPriority w:val="99"/>
    <w:rPr>
      <w:color w:val="605E5C"/>
      <w:shd w:val="clear" w:color="auto" w:fill="E1DFDD"/>
    </w:rPr>
  </w:style>
  <w:style w:type="character" w:customStyle="1" w:styleId="24">
    <w:name w:val="标题 1 Char"/>
    <w:link w:val="2"/>
    <w:qFormat/>
    <w:locked/>
    <w:uiPriority w:val="99"/>
    <w:rPr>
      <w:rFonts w:ascii="Calibri" w:hAnsi="Calibri" w:eastAsia="宋体" w:cs="Calibri"/>
      <w:b/>
      <w:bCs/>
      <w:kern w:val="44"/>
      <w:sz w:val="44"/>
      <w:szCs w:val="44"/>
    </w:rPr>
  </w:style>
  <w:style w:type="character" w:customStyle="1" w:styleId="25">
    <w:name w:val="页脚 Char"/>
    <w:link w:val="6"/>
    <w:semiHidden/>
    <w:qFormat/>
    <w:locked/>
    <w:uiPriority w:val="99"/>
    <w:rPr>
      <w:rFonts w:ascii="Calibri" w:hAnsi="Calibri" w:eastAsia="宋体" w:cs="Calibri"/>
      <w:sz w:val="18"/>
      <w:szCs w:val="18"/>
    </w:rPr>
  </w:style>
  <w:style w:type="character" w:customStyle="1" w:styleId="26">
    <w:name w:val="页眉 Char"/>
    <w:link w:val="7"/>
    <w:semiHidden/>
    <w:qFormat/>
    <w:locked/>
    <w:uiPriority w:val="99"/>
    <w:rPr>
      <w:rFonts w:ascii="Calibri" w:hAnsi="Calibri" w:eastAsia="宋体" w:cs="Calibri"/>
      <w:sz w:val="18"/>
      <w:szCs w:val="18"/>
    </w:rPr>
  </w:style>
  <w:style w:type="character" w:customStyle="1" w:styleId="27">
    <w:name w:val="文档结构图 Char"/>
    <w:link w:val="3"/>
    <w:semiHidden/>
    <w:qFormat/>
    <w:locked/>
    <w:uiPriority w:val="99"/>
    <w:rPr>
      <w:rFonts w:ascii="宋体" w:hAnsi="Calibri" w:eastAsia="宋体" w:cs="宋体"/>
      <w:sz w:val="18"/>
      <w:szCs w:val="18"/>
    </w:rPr>
  </w:style>
  <w:style w:type="character" w:customStyle="1" w:styleId="28">
    <w:name w:val="批注框文本 Char"/>
    <w:link w:val="5"/>
    <w:semiHidden/>
    <w:qFormat/>
    <w:locked/>
    <w:uiPriority w:val="99"/>
    <w:rPr>
      <w:rFonts w:ascii="Calibri" w:hAnsi="Calibri" w:eastAsia="宋体" w:cs="Calibri"/>
      <w:sz w:val="18"/>
      <w:szCs w:val="18"/>
    </w:rPr>
  </w:style>
  <w:style w:type="paragraph" w:customStyle="1" w:styleId="29">
    <w:name w:val="List Paragraph1"/>
    <w:basedOn w:val="1"/>
    <w:qFormat/>
    <w:uiPriority w:val="99"/>
    <w:pPr>
      <w:ind w:firstLine="420" w:firstLineChars="200"/>
    </w:pPr>
  </w:style>
  <w:style w:type="paragraph" w:customStyle="1" w:styleId="30">
    <w:name w:val="Default"/>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customStyle="1" w:styleId="31">
    <w:name w:val="msonormalcxspmiddle"/>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32">
    <w:name w:val="修订1"/>
    <w:hidden/>
    <w:unhideWhenUsed/>
    <w:qFormat/>
    <w:uiPriority w:val="99"/>
    <w:rPr>
      <w:rFonts w:ascii="Calibri" w:hAnsi="Calibri" w:eastAsia="宋体" w:cs="Calibri"/>
      <w:kern w:val="2"/>
      <w:sz w:val="21"/>
      <w:szCs w:val="21"/>
      <w:lang w:val="en-US" w:eastAsia="zh-CN" w:bidi="ar-SA"/>
    </w:rPr>
  </w:style>
  <w:style w:type="character" w:customStyle="1" w:styleId="33">
    <w:name w:val="脚注文本 Char"/>
    <w:link w:val="9"/>
    <w:qFormat/>
    <w:uiPriority w:val="0"/>
    <w:rPr>
      <w:rFonts w:ascii="Calibri" w:hAnsi="Calibri" w:cs="Calibri"/>
      <w:kern w:val="2"/>
      <w:sz w:val="18"/>
      <w:szCs w:val="18"/>
    </w:rPr>
  </w:style>
  <w:style w:type="paragraph" w:styleId="34">
    <w:name w:val="List Paragraph"/>
    <w:basedOn w:val="1"/>
    <w:qFormat/>
    <w:uiPriority w:val="99"/>
    <w:pPr>
      <w:ind w:firstLine="420" w:firstLineChars="200"/>
    </w:pPr>
  </w:style>
  <w:style w:type="paragraph" w:customStyle="1" w:styleId="35">
    <w:name w:val="List Paragraph2"/>
    <w:basedOn w:val="1"/>
    <w:unhideWhenUsed/>
    <w:qFormat/>
    <w:uiPriority w:val="0"/>
    <w:pPr>
      <w:ind w:firstLine="420" w:firstLineChars="200"/>
    </w:pPr>
    <w:rPr>
      <w:rFonts w:ascii="Times New Roman" w:hAnsi="Times New Roman" w:cs="Times New Roman"/>
      <w:szCs w:val="20"/>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image" Target="media/image1.png"/>
  <Relationship Id="rId6" Type="http://schemas.openxmlformats.org/officeDocument/2006/relationships/customXml" Target="../customXml/item1.xml"/>
  <Relationship Id="rId7" Type="http://schemas.openxmlformats.org/officeDocument/2006/relationships/numbering" Target="numbering.xml"/>
  <Relationship Id="rId8" Type="http://schemas.openxmlformats.org/officeDocument/2006/relationships/customXml" Target="../customXml/item2.xml"/>
  <Relationship Id="rId9" Type="http://schemas.openxmlformats.org/officeDocument/2006/relationships/fontTable" Target="fontTable.xml"/>
</Relationships>

</file>

<file path=word/_rels/settings.xml.rels><?xml version="1.0" encoding="UTF-8"?>

<Relationships xmlns="http://schemas.openxmlformats.org/package/2006/relationships">
  <Relationship Id="rId1" Type="http://schemas.openxmlformats.org/officeDocument/2006/relationships/attachedTemplate" TargetMode="External" Target="file:///E:/hccb(&#19981;&#35201;&#21024;)/&#26700;&#38754;/&#24180;&#28155;&#30410;%201.dotx"/>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4375C2-88BA-4568-99E3-24F06E9537F9}">
  <ds:schemaRefs/>
</ds:datastoreItem>
</file>

<file path=docProps/app.xml><?xml version="1.0" encoding="utf-8"?>
<Properties xmlns="http://schemas.openxmlformats.org/officeDocument/2006/extended-properties" xmlns:vt="http://schemas.openxmlformats.org/officeDocument/2006/docPropsVTypes">
  <Template>年添益 1.dotx</Template>
  <Company>Microsoft</Company>
  <Pages>29</Pages>
  <Words>3608</Words>
  <Characters>20572</Characters>
  <Lines>171</Lines>
  <Paragraphs>48</Paragraphs>
  <TotalTime>4</TotalTime>
  <ScaleCrop>false</ScaleCrop>
  <LinksUpToDate>false</LinksUpToDate>
  <CharactersWithSpaces>24132</CharactersWithSpaces>
  <Application>WPS Office_11.8.2.8411_F1E327BC-269C-435d-A152-05C5408002CA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2021-05-27T04:25:00Z</dcterms:created>
  <dc:creator>hccb</dc:creator>
  <lastModifiedBy>未定义</lastModifiedBy>
  <lastPrinted>2020-04-15T04:53:00Z</lastPrinted>
  <dcterms:modified xsi:type="dcterms:W3CDTF">2022-06-15T12:30:28Z</dcterms:modified>
  <revision>63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