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spacing w:line="420" w:lineRule="exact"/>
        <w:jc w:val="center"/>
        <w:rPr>
          <w:rFonts w:ascii="宋体" w:hAnsi="宋体"/>
          <w:b/>
          <w:color w:val="auto"/>
        </w:rPr>
      </w:pPr>
      <w:r>
        <w:rPr>
          <w:rFonts w:hint="eastAsia" w:ascii="宋体" w:hAnsi="宋体"/>
          <w:b/>
          <w:color w:val="auto"/>
        </w:rPr>
        <w:t>杭银理财幸福99丰裕固收理财计划</w:t>
      </w:r>
    </w:p>
    <w:p>
      <w:pPr>
        <w:pStyle w:val="17"/>
        <w:spacing w:line="420" w:lineRule="exact"/>
        <w:jc w:val="center"/>
        <w:rPr>
          <w:rFonts w:ascii="宋体" w:hAnsi="宋体"/>
          <w:b/>
          <w:color w:val="auto"/>
        </w:rPr>
      </w:pPr>
      <w:r>
        <w:rPr>
          <w:rFonts w:hint="eastAsia" w:ascii="宋体" w:hAnsi="宋体"/>
          <w:b/>
          <w:color w:val="auto"/>
        </w:rPr>
        <w:t>风险揭示书</w:t>
      </w:r>
    </w:p>
    <w:p>
      <w:pPr>
        <w:pStyle w:val="17"/>
        <w:spacing w:line="360" w:lineRule="auto"/>
        <w:jc w:val="center"/>
        <w:rPr>
          <w:rFonts w:ascii="宋体" w:hAnsi="宋体"/>
          <w:color w:val="auto"/>
          <w:sz w:val="21"/>
          <w:szCs w:val="21"/>
        </w:rPr>
      </w:pPr>
      <w:r>
        <w:rPr>
          <w:rFonts w:hint="eastAsia" w:ascii="宋体" w:hAnsi="宋体"/>
          <w:b/>
          <w:color w:val="auto"/>
          <w:sz w:val="21"/>
          <w:szCs w:val="21"/>
        </w:rPr>
        <w:t>“理财非存款、产品有风险、投资须谨慎</w:t>
      </w:r>
      <w:r>
        <w:rPr>
          <w:rFonts w:hint="eastAsia" w:ascii="宋体" w:hAnsi="宋体"/>
          <w:color w:val="auto"/>
          <w:sz w:val="21"/>
          <w:szCs w:val="21"/>
        </w:rPr>
        <w:t>”</w:t>
      </w:r>
    </w:p>
    <w:p>
      <w:pPr>
        <w:pStyle w:val="17"/>
        <w:spacing w:line="360" w:lineRule="auto"/>
        <w:jc w:val="both"/>
        <w:rPr>
          <w:rFonts w:ascii="宋体" w:hAnsi="宋体"/>
          <w:color w:val="auto"/>
          <w:sz w:val="21"/>
          <w:szCs w:val="21"/>
        </w:rPr>
      </w:pPr>
      <w:r>
        <w:rPr>
          <w:rFonts w:hint="eastAsia" w:ascii="宋体" w:hAnsi="宋体"/>
          <w:color w:val="auto"/>
          <w:sz w:val="21"/>
          <w:szCs w:val="21"/>
        </w:rPr>
        <w:t>尊敬的理财投资者：</w:t>
      </w:r>
    </w:p>
    <w:p>
      <w:pPr>
        <w:pStyle w:val="17"/>
        <w:spacing w:line="360" w:lineRule="auto"/>
        <w:ind w:firstLine="420" w:firstLineChars="200"/>
        <w:jc w:val="both"/>
        <w:rPr>
          <w:rFonts w:ascii="宋体" w:hAnsi="宋体"/>
          <w:b/>
          <w:sz w:val="21"/>
          <w:szCs w:val="21"/>
        </w:rPr>
      </w:pPr>
      <w:r>
        <w:rPr>
          <w:rFonts w:hint="eastAsia" w:ascii="宋体" w:hAnsi="宋体" w:cs="宋体"/>
          <w:sz w:val="21"/>
          <w:szCs w:val="21"/>
        </w:rPr>
        <w:t>本理财产品：杭银理财幸福99丰裕固收理财计划，属于〖公募〗</w:t>
      </w:r>
      <w:r>
        <w:rPr>
          <w:rFonts w:hint="eastAsia" w:ascii="宋体" w:hAnsi="宋体" w:cs="宋体"/>
          <w:b/>
          <w:sz w:val="21"/>
          <w:szCs w:val="21"/>
        </w:rPr>
        <w:t>、</w:t>
      </w:r>
      <w:r>
        <w:rPr>
          <w:rFonts w:hint="eastAsia" w:ascii="宋体" w:hAnsi="宋体" w:cs="宋体"/>
          <w:sz w:val="21"/>
          <w:szCs w:val="21"/>
        </w:rPr>
        <w:t>〖封闭式〗</w:t>
      </w:r>
      <w:r>
        <w:rPr>
          <w:rFonts w:hint="eastAsia" w:ascii="宋体" w:hAnsi="宋体" w:cs="宋体"/>
          <w:b/>
          <w:sz w:val="21"/>
          <w:szCs w:val="21"/>
        </w:rPr>
        <w:t>、</w:t>
      </w:r>
      <w:r>
        <w:rPr>
          <w:rFonts w:hint="eastAsia" w:ascii="宋体" w:hAnsi="宋体" w:cs="宋体"/>
          <w:sz w:val="21"/>
          <w:szCs w:val="21"/>
        </w:rPr>
        <w:t>〖固定收益类〗</w:t>
      </w:r>
      <w:r>
        <w:rPr>
          <w:rFonts w:hint="eastAsia" w:ascii="宋体" w:hAnsi="宋体" w:cs="宋体"/>
          <w:b/>
          <w:sz w:val="21"/>
          <w:szCs w:val="21"/>
        </w:rPr>
        <w:t>净值型</w:t>
      </w:r>
      <w:r>
        <w:rPr>
          <w:rFonts w:hint="eastAsia" w:ascii="宋体" w:hAnsi="宋体" w:cs="宋体"/>
          <w:b/>
          <w:bCs/>
          <w:sz w:val="21"/>
          <w:szCs w:val="21"/>
        </w:rPr>
        <w:t>理财产品</w:t>
      </w:r>
      <w:r>
        <w:rPr>
          <w:rFonts w:hint="eastAsia" w:ascii="宋体" w:hAnsi="宋体" w:cs="宋体"/>
          <w:b/>
          <w:sz w:val="21"/>
          <w:szCs w:val="21"/>
        </w:rPr>
        <w:t>。您的理财本金与收益可能会因市场变动而蒙受重大损失。您应仔细阅读理财产品风险揭示书、理财计划产品说明书、投资者权益须知、理财计划投资协议书、理财计划销售协议书等全部条款，这些销售文件将共同构成投资者与管理人之间的理财交易合同（若通过电子渠道购买的，成功交易后视同为投资者与管理人已完成理财计划交易合同的签订）</w:t>
      </w:r>
      <w:r>
        <w:rPr>
          <w:rFonts w:hint="eastAsia" w:ascii="宋体" w:hAnsi="宋体" w:cs="宋体"/>
          <w:sz w:val="21"/>
          <w:szCs w:val="21"/>
        </w:rPr>
        <w:t>，同时您还应向销售机构详细了解本理财产品特性、资金投向及投资组合安排、风险揭示内容及风险管控措施。本理财产品最终收益率的实现将视市场情况等因素而定，您应该充分认识本产品的投资风险，敬请仔细判别，谨慎投资：</w:t>
      </w:r>
    </w:p>
    <w:p>
      <w:pPr>
        <w:autoSpaceDE w:val="0"/>
        <w:autoSpaceDN w:val="0"/>
        <w:adjustRightInd w:val="0"/>
        <w:spacing w:line="360" w:lineRule="auto"/>
        <w:ind w:firstLine="424" w:firstLineChars="202"/>
        <w:jc w:val="left"/>
        <w:rPr>
          <w:rFonts w:ascii="宋体"/>
          <w:color w:val="000000"/>
        </w:rPr>
      </w:pPr>
      <w:r>
        <w:rPr>
          <w:rFonts w:hint="eastAsia" w:ascii="宋体" w:hAnsi="宋体" w:cs="宋体"/>
          <w:color w:val="000000"/>
        </w:rPr>
        <w:t>第一条</w:t>
      </w:r>
      <w:r>
        <w:rPr>
          <w:rFonts w:ascii="宋体" w:hAnsi="宋体" w:cs="宋体"/>
          <w:color w:val="000000"/>
        </w:rPr>
        <w:t xml:space="preserve">  </w:t>
      </w:r>
      <w:r>
        <w:rPr>
          <w:rFonts w:hint="eastAsia" w:ascii="宋体" w:hAnsi="宋体" w:cs="宋体"/>
          <w:color w:val="000000"/>
        </w:rPr>
        <w:t>理财产品共性风险提示和管控措施</w:t>
      </w:r>
    </w:p>
    <w:p>
      <w:pPr>
        <w:numPr>
          <w:ilvl w:val="0"/>
          <w:numId w:val="1"/>
        </w:numPr>
        <w:autoSpaceDE w:val="0"/>
        <w:autoSpaceDN w:val="0"/>
        <w:adjustRightInd w:val="0"/>
        <w:spacing w:line="360" w:lineRule="auto"/>
        <w:ind w:left="0" w:firstLine="426"/>
        <w:jc w:val="left"/>
        <w:rPr>
          <w:rFonts w:ascii="宋体"/>
          <w:b/>
          <w:color w:val="000000"/>
        </w:rPr>
      </w:pPr>
      <w:r>
        <w:rPr>
          <w:rFonts w:hint="eastAsia" w:ascii="宋体" w:hAnsi="宋体" w:cs="宋体"/>
          <w:b/>
          <w:color w:val="000000"/>
        </w:rPr>
        <w:t>信用风险：理财产品面临的信用风险主要是指因理财产品配置资产所涉及的相关债务主体到期未能履行还款义务，使理财产品本金或收益蒙受损失的风险。</w:t>
      </w:r>
    </w:p>
    <w:p>
      <w:pPr>
        <w:pStyle w:val="17"/>
        <w:spacing w:line="360" w:lineRule="auto"/>
        <w:ind w:firstLine="420" w:firstLineChars="200"/>
        <w:jc w:val="both"/>
        <w:rPr>
          <w:rFonts w:ascii="宋体" w:hAnsi="宋体" w:cs="宋体"/>
          <w:sz w:val="21"/>
          <w:szCs w:val="21"/>
        </w:rPr>
      </w:pPr>
      <w:r>
        <w:rPr>
          <w:rFonts w:hint="eastAsia" w:ascii="宋体" w:hAnsi="宋体" w:cs="宋体"/>
          <w:sz w:val="21"/>
          <w:szCs w:val="21"/>
        </w:rPr>
        <w:t>管理人针对理财产品配置资产的不同特征，采取了多种管理措施，针对有信用评级的固定收益类资产，依据其信用评级、财务状况、市场影响等多重指标对已投资和待投资的资产定期进行评估，符合投资要求的信用产品方可继续持有或允许投资，不符合投资要求的资产则限期出售或不予投资，并在运作过程中严格监控所投资资产的信用等级，以控制理财产品的信用风险。针对没有信用评级的固定收益类资产，严格实施投前尽职调查、风险审查和投后风险管理。</w:t>
      </w:r>
    </w:p>
    <w:p>
      <w:pPr>
        <w:numPr>
          <w:ilvl w:val="0"/>
          <w:numId w:val="1"/>
        </w:numPr>
        <w:autoSpaceDE w:val="0"/>
        <w:autoSpaceDN w:val="0"/>
        <w:adjustRightInd w:val="0"/>
        <w:spacing w:line="360" w:lineRule="auto"/>
        <w:ind w:left="0" w:firstLine="426"/>
        <w:jc w:val="left"/>
        <w:rPr>
          <w:rFonts w:ascii="宋体"/>
          <w:b/>
          <w:color w:val="000000"/>
        </w:rPr>
      </w:pPr>
      <w:r>
        <w:rPr>
          <w:rFonts w:hint="eastAsia" w:ascii="宋体" w:hAnsi="宋体" w:cs="宋体"/>
          <w:b/>
          <w:color w:val="000000"/>
        </w:rPr>
        <w:t>市场风险：理财产品面临的市场风险主要指因市场各种风险因子变动，使得理财产品配置资产的价格发生波动，导致理财产品本金或收益蒙受损失的风险。</w:t>
      </w:r>
    </w:p>
    <w:p>
      <w:pPr>
        <w:autoSpaceDE w:val="0"/>
        <w:autoSpaceDN w:val="0"/>
        <w:adjustRightInd w:val="0"/>
        <w:spacing w:line="360" w:lineRule="auto"/>
        <w:ind w:firstLine="424" w:firstLineChars="202"/>
        <w:jc w:val="left"/>
        <w:rPr>
          <w:rFonts w:ascii="宋体"/>
          <w:color w:val="000000"/>
        </w:rPr>
      </w:pPr>
      <w:r>
        <w:rPr>
          <w:rFonts w:hint="eastAsia" w:ascii="宋体" w:hAnsi="宋体" w:cs="宋体"/>
          <w:color w:val="000000"/>
        </w:rPr>
        <w:t>管理人主要依托银行间市场、证券交易所市场等交易平台，密切监控理财产品配置资产的交易情况，定期进行估值，如交易价格或成交量发生异动、重大事件发生时（债券发行人涉及亏损、诉讼等），及时采取相应措施，控制理财产品面临的市场风险。本期理财产品也将面临一定的因相关金融工具市场价格波动而带来的市场风险。</w:t>
      </w:r>
    </w:p>
    <w:p>
      <w:pPr>
        <w:numPr>
          <w:ilvl w:val="0"/>
          <w:numId w:val="1"/>
        </w:numPr>
        <w:autoSpaceDE w:val="0"/>
        <w:autoSpaceDN w:val="0"/>
        <w:adjustRightInd w:val="0"/>
        <w:spacing w:line="360" w:lineRule="auto"/>
        <w:ind w:left="0" w:firstLine="426"/>
        <w:jc w:val="left"/>
        <w:rPr>
          <w:rFonts w:ascii="宋体"/>
          <w:b/>
          <w:bCs/>
          <w:color w:val="000000"/>
        </w:rPr>
      </w:pPr>
      <w:r>
        <w:rPr>
          <w:rFonts w:hint="eastAsia" w:ascii="宋体" w:hAnsi="宋体" w:cs="宋体"/>
          <w:b/>
          <w:color w:val="000000"/>
        </w:rPr>
        <w:t>流动性风险：指投资组合内的资产不能迅速转变成现金，或因资产变现而导致的额外资金成本增加的风险。</w:t>
      </w:r>
      <w:r>
        <w:rPr>
          <w:rFonts w:hint="eastAsia" w:ascii="宋体" w:cs="宋体"/>
          <w:b/>
          <w:bCs/>
          <w:color w:val="000000"/>
          <w:szCs w:val="21"/>
        </w:rPr>
        <w:t>从投资人角度，本产品为封闭式理财产品，且不能提前赎回，投资人应考虑产品期限并合理安排自身投资计划。</w:t>
      </w:r>
    </w:p>
    <w:p>
      <w:pPr>
        <w:autoSpaceDE w:val="0"/>
        <w:autoSpaceDN w:val="0"/>
        <w:adjustRightInd w:val="0"/>
        <w:spacing w:line="360" w:lineRule="auto"/>
        <w:ind w:firstLine="424" w:firstLineChars="202"/>
        <w:jc w:val="left"/>
        <w:rPr>
          <w:rFonts w:ascii="宋体" w:hAnsi="宋体" w:cs="宋体"/>
          <w:color w:val="000000"/>
        </w:rPr>
      </w:pPr>
      <w:r>
        <w:rPr>
          <w:rFonts w:hint="eastAsia" w:ascii="宋体" w:hAnsi="宋体" w:cs="宋体"/>
          <w:color w:val="000000"/>
          <w:szCs w:val="20"/>
        </w:rPr>
        <w:t>从理财产品资产配置的角度，管理人在理财产品成立期初，对理财产品及其所配置资产的存续期进行评估，对理财产品所配置资产自身的流动性进行分析，以控制流动性风险。</w:t>
      </w:r>
    </w:p>
    <w:p>
      <w:pPr>
        <w:numPr>
          <w:ilvl w:val="0"/>
          <w:numId w:val="1"/>
        </w:numPr>
        <w:autoSpaceDE w:val="0"/>
        <w:autoSpaceDN w:val="0"/>
        <w:adjustRightInd w:val="0"/>
        <w:spacing w:line="360" w:lineRule="auto"/>
        <w:ind w:left="0" w:firstLine="426" w:firstLineChars="202"/>
        <w:jc w:val="left"/>
        <w:rPr>
          <w:rFonts w:ascii="宋体"/>
          <w:b/>
          <w:color w:val="000000"/>
        </w:rPr>
      </w:pPr>
      <w:r>
        <w:rPr>
          <w:rFonts w:hint="eastAsia" w:ascii="宋体" w:hAnsi="宋体" w:cs="宋体"/>
          <w:b/>
          <w:color w:val="000000"/>
        </w:rPr>
        <w:t>交易对手风险：理财产品面临的交易对手风险主要是指管理人为理财产品配置资产的过程中，因交易对手交易失误等原因，导致理财产品本金或收益蒙受损失的风险。</w:t>
      </w:r>
    </w:p>
    <w:p>
      <w:pPr>
        <w:autoSpaceDE w:val="0"/>
        <w:autoSpaceDN w:val="0"/>
        <w:adjustRightInd w:val="0"/>
        <w:spacing w:line="360" w:lineRule="auto"/>
        <w:ind w:firstLine="424" w:firstLineChars="202"/>
        <w:jc w:val="left"/>
        <w:rPr>
          <w:rFonts w:ascii="宋体"/>
          <w:color w:val="000000"/>
        </w:rPr>
      </w:pPr>
      <w:r>
        <w:rPr>
          <w:rFonts w:hint="eastAsia" w:ascii="宋体" w:hAnsi="宋体" w:cs="宋体"/>
          <w:color w:val="000000"/>
        </w:rPr>
        <w:t>管理人一方面在配置资产过程中严格选择信用水平较高的交易对手，另一方面按照同业统一授信的管理方式，加强对交易对手信用状况的跟踪调查，管理理财产品配置资产过程中的交易对手风险。</w:t>
      </w:r>
    </w:p>
    <w:p>
      <w:pPr>
        <w:numPr>
          <w:ilvl w:val="0"/>
          <w:numId w:val="1"/>
        </w:numPr>
        <w:autoSpaceDE w:val="0"/>
        <w:autoSpaceDN w:val="0"/>
        <w:adjustRightInd w:val="0"/>
        <w:spacing w:line="360" w:lineRule="auto"/>
        <w:ind w:left="0" w:firstLine="426"/>
        <w:jc w:val="left"/>
        <w:rPr>
          <w:rFonts w:ascii="宋体"/>
          <w:b/>
          <w:color w:val="000000"/>
        </w:rPr>
      </w:pPr>
      <w:r>
        <w:rPr>
          <w:rFonts w:hint="eastAsia" w:ascii="宋体" w:hAnsi="宋体" w:cs="宋体"/>
          <w:b/>
          <w:color w:val="000000"/>
        </w:rPr>
        <w:t>信息传递风险：理财产品面临的信息传递风险是指由于投资者未能及时主动了解产品信息，或由于通信故障、系统故障以及其他不可抗力等因素的影响，使得投资者无法及时了解产品信息，而导致投资者无法及时做出合理决策，致使投资蒙受损失的风险。</w:t>
      </w:r>
      <w:r>
        <w:rPr>
          <w:rFonts w:ascii="宋体" w:hAnsi="宋体" w:cs="宋体"/>
          <w:b/>
          <w:color w:val="000000"/>
        </w:rPr>
        <w:t xml:space="preserve"> </w:t>
      </w:r>
    </w:p>
    <w:p>
      <w:pPr>
        <w:autoSpaceDE w:val="0"/>
        <w:autoSpaceDN w:val="0"/>
        <w:adjustRightInd w:val="0"/>
        <w:spacing w:line="360" w:lineRule="auto"/>
        <w:ind w:firstLine="420" w:firstLineChars="200"/>
        <w:jc w:val="left"/>
        <w:rPr>
          <w:rFonts w:ascii="宋体"/>
          <w:color w:val="000000"/>
        </w:rPr>
      </w:pPr>
      <w:r>
        <w:rPr>
          <w:rFonts w:hint="eastAsia" w:ascii="宋体" w:hAnsi="宋体" w:cs="宋体"/>
          <w:color w:val="000000"/>
        </w:rPr>
        <w:t>管理人按照理财产品说明书有关条款的约定，发布理财产品的成立、运作、到期清算或提前终止等信息公告。投资者应根据约定及时登陆管理人或销售机构官方网站或拨打销售机构</w:t>
      </w:r>
      <w:r>
        <w:rPr>
          <w:rFonts w:hint="eastAsia" w:ascii="宋体" w:cs="宋体"/>
          <w:color w:val="000000"/>
          <w:szCs w:val="21"/>
        </w:rPr>
        <w:t>投资者服务热线</w:t>
      </w:r>
      <w:r>
        <w:rPr>
          <w:rFonts w:hint="eastAsia" w:ascii="宋体" w:hAnsi="宋体" w:cs="宋体"/>
          <w:color w:val="000000"/>
        </w:rPr>
        <w:t>查询，如果投资者未及时查询，或由于通信故障、系统故障以及其他不可抗力等因素的影响使得投资者无法及时了解产品信息，因此而产生的责任和风险由投资者自行承担。</w:t>
      </w:r>
      <w:r>
        <w:rPr>
          <w:rFonts w:hint="eastAsia" w:ascii="宋体" w:hAnsi="宋体" w:cs="宋体"/>
          <w:bCs/>
          <w:color w:val="000000"/>
        </w:rPr>
        <w:t>如果影响投资者风险承受能力的因素发生变化或风险承受能力评估结果已过一年的有效期，请及时完成风险承受能力评估，否则可能造成投资者无法认购，由此产生的责任和风险由投资者自行承担。</w:t>
      </w:r>
      <w:r>
        <w:rPr>
          <w:rFonts w:hint="eastAsia" w:ascii="宋体" w:hAnsi="宋体" w:cs="宋体"/>
          <w:color w:val="000000"/>
        </w:rPr>
        <w:t>另外，投资者预留在销售机构的有效联系方式进行变更的，应及时告知销售机构，如投资者未及时告知销售机构联系方式变更的，销售机构可能在需要时无法及时联系投资者，并可能会由此影响投资者的决策，由此产生的责任和风险由投资者自行承担。</w:t>
      </w:r>
    </w:p>
    <w:p>
      <w:pPr>
        <w:numPr>
          <w:ilvl w:val="0"/>
          <w:numId w:val="1"/>
        </w:numPr>
        <w:autoSpaceDE w:val="0"/>
        <w:autoSpaceDN w:val="0"/>
        <w:adjustRightInd w:val="0"/>
        <w:spacing w:line="360" w:lineRule="auto"/>
        <w:ind w:left="0" w:firstLine="426" w:firstLineChars="202"/>
        <w:jc w:val="left"/>
        <w:rPr>
          <w:rFonts w:ascii="宋体"/>
          <w:b/>
          <w:color w:val="000000"/>
        </w:rPr>
      </w:pPr>
      <w:r>
        <w:rPr>
          <w:rFonts w:hint="eastAsia" w:ascii="宋体" w:hAnsi="宋体" w:cs="宋体"/>
          <w:b/>
          <w:color w:val="000000"/>
        </w:rPr>
        <w:t>不可抗力风险：理财产品面临的不可抗力风险是指由于战争、重大自然灾害等不可抗力因素的出现，严重影响金融市场的正常运行，从而导致理财产品受到干扰和破坏，甚至影响理财产品的受理、投资、兑付等事宜的正常进行，进而导致投资者蒙受损失的风险。由此产生的风险由投资者自行承担。</w:t>
      </w:r>
    </w:p>
    <w:p>
      <w:pPr>
        <w:autoSpaceDE w:val="0"/>
        <w:autoSpaceDN w:val="0"/>
        <w:adjustRightInd w:val="0"/>
        <w:spacing w:line="360" w:lineRule="auto"/>
        <w:ind w:firstLine="420"/>
        <w:jc w:val="left"/>
        <w:rPr>
          <w:rFonts w:ascii="宋体" w:cs="宋体"/>
          <w:color w:val="000000"/>
          <w:szCs w:val="21"/>
        </w:rPr>
      </w:pPr>
      <w:r>
        <w:rPr>
          <w:rFonts w:ascii="宋体" w:cs="宋体"/>
          <w:color w:val="000000"/>
          <w:szCs w:val="21"/>
        </w:rPr>
        <w:t xml:space="preserve"> </w:t>
      </w:r>
      <w:r>
        <w:rPr>
          <w:rFonts w:hint="eastAsia" w:ascii="宋体" w:cs="宋体"/>
          <w:color w:val="000000"/>
          <w:szCs w:val="21"/>
        </w:rPr>
        <w:t>第二条</w:t>
      </w:r>
      <w:r>
        <w:rPr>
          <w:rFonts w:ascii="宋体" w:cs="宋体"/>
          <w:color w:val="000000"/>
          <w:szCs w:val="21"/>
        </w:rPr>
        <w:t xml:space="preserve"> </w:t>
      </w:r>
      <w:r>
        <w:rPr>
          <w:rFonts w:hint="eastAsia" w:ascii="宋体" w:cs="宋体"/>
          <w:color w:val="000000"/>
          <w:szCs w:val="21"/>
        </w:rPr>
        <w:t>本理财产品特定风险揭示</w:t>
      </w:r>
      <w:r>
        <w:rPr>
          <w:rFonts w:ascii="宋体" w:cs="宋体"/>
          <w:color w:val="000000"/>
          <w:szCs w:val="21"/>
        </w:rPr>
        <w:t xml:space="preserve"> </w:t>
      </w:r>
    </w:p>
    <w:p>
      <w:pPr>
        <w:pStyle w:val="17"/>
        <w:spacing w:line="360" w:lineRule="auto"/>
        <w:ind w:firstLine="422"/>
        <w:jc w:val="both"/>
        <w:rPr>
          <w:rFonts w:ascii="宋体" w:cs="宋体"/>
          <w:bCs/>
          <w:sz w:val="21"/>
          <w:szCs w:val="21"/>
        </w:rPr>
      </w:pPr>
      <w:r>
        <w:rPr>
          <w:rFonts w:hint="eastAsia" w:ascii="宋体" w:cs="宋体"/>
          <w:b/>
          <w:sz w:val="21"/>
          <w:szCs w:val="21"/>
        </w:rPr>
        <w:t>本理财产品为</w:t>
      </w:r>
      <w:r>
        <w:rPr>
          <w:rFonts w:hint="eastAsia" w:ascii="宋体" w:hAnsi="宋体" w:cs="宋体"/>
          <w:sz w:val="21"/>
          <w:szCs w:val="21"/>
        </w:rPr>
        <w:t>〖公募〗、〖封闭式〗、〖固定收益类〗</w:t>
      </w:r>
      <w:r>
        <w:rPr>
          <w:rFonts w:hint="eastAsia" w:ascii="宋体" w:cs="宋体"/>
          <w:b/>
          <w:sz w:val="21"/>
          <w:szCs w:val="21"/>
        </w:rPr>
        <w:t>净值型理财产品，不保证本金与收益；本理财产品风险评级结果：根据本公司理财产品内部风险评级，该产品风险评级结果为</w:t>
      </w:r>
      <w:r>
        <w:rPr>
          <w:rFonts w:hint="eastAsia" w:ascii="宋体" w:hAnsi="宋体" w:cs="宋体"/>
          <w:sz w:val="21"/>
          <w:szCs w:val="21"/>
        </w:rPr>
        <w:t>〖</w:t>
      </w:r>
      <w:r>
        <w:rPr>
          <w:rFonts w:hint="eastAsia" w:ascii="宋体" w:hAnsi="宋体" w:cs="宋体"/>
          <w:b/>
          <w:sz w:val="21"/>
          <w:szCs w:val="21"/>
        </w:rPr>
        <w:t>R2</w:t>
      </w:r>
      <w:r>
        <w:rPr>
          <w:rFonts w:hint="eastAsia" w:ascii="宋体" w:hAnsi="宋体" w:cs="宋体"/>
          <w:sz w:val="21"/>
          <w:szCs w:val="21"/>
        </w:rPr>
        <w:t>〗</w:t>
      </w:r>
      <w:r>
        <w:rPr>
          <w:rFonts w:hint="eastAsia" w:ascii="宋体" w:cs="宋体"/>
          <w:b/>
          <w:sz w:val="21"/>
          <w:szCs w:val="21"/>
        </w:rPr>
        <w:t>，</w:t>
      </w:r>
      <w:r>
        <w:rPr>
          <w:rFonts w:hint="eastAsia" w:ascii="宋体" w:hAnsi="宋体" w:cs="宋体"/>
          <w:sz w:val="21"/>
          <w:szCs w:val="21"/>
        </w:rPr>
        <w:t>〖</w:t>
      </w:r>
      <w:r>
        <w:rPr>
          <w:rFonts w:hint="eastAsia" w:ascii="宋体" w:hAnsi="宋体" w:cs="宋体"/>
          <w:b/>
          <w:sz w:val="21"/>
          <w:szCs w:val="21"/>
        </w:rPr>
        <w:t>中低</w:t>
      </w:r>
      <w:r>
        <w:rPr>
          <w:rFonts w:hint="eastAsia" w:ascii="宋体" w:hAnsi="宋体" w:cs="宋体"/>
          <w:sz w:val="21"/>
          <w:szCs w:val="21"/>
        </w:rPr>
        <w:t>〗</w:t>
      </w:r>
      <w:r>
        <w:rPr>
          <w:rFonts w:hint="eastAsia" w:ascii="宋体" w:cs="宋体"/>
          <w:b/>
          <w:sz w:val="21"/>
          <w:szCs w:val="21"/>
        </w:rPr>
        <w:t>风险</w:t>
      </w:r>
      <w:r>
        <w:rPr>
          <w:rFonts w:hint="eastAsia" w:ascii="宋体" w:cs="宋体"/>
          <w:sz w:val="21"/>
          <w:szCs w:val="21"/>
        </w:rPr>
        <w:t>（本风险等级为我公司内部风险评级结果，仅供参考，我公司不对前述风险评级结果的准确性做出任何形式的保证，也不承</w:t>
      </w:r>
      <w:r>
        <w:rPr>
          <w:rFonts w:hint="eastAsia" w:ascii="宋体" w:cs="宋体"/>
          <w:bCs/>
          <w:sz w:val="21"/>
          <w:szCs w:val="21"/>
        </w:rPr>
        <w:t>担任何法律责</w:t>
      </w:r>
      <w:r>
        <w:rPr>
          <w:rFonts w:hint="eastAsia" w:ascii="宋体" w:cs="宋体"/>
          <w:sz w:val="21"/>
          <w:szCs w:val="21"/>
        </w:rPr>
        <w:t>任）；</w:t>
      </w:r>
      <w:r>
        <w:rPr>
          <w:rFonts w:hint="eastAsia" w:ascii="宋体" w:cs="宋体"/>
          <w:bCs/>
          <w:sz w:val="21"/>
          <w:szCs w:val="21"/>
        </w:rPr>
        <w:t>本理财计划通过代理销售机构渠道销售的，理财计划产品评级应当以代理销售机构最终披露的评级结果为准。</w:t>
      </w:r>
      <w:r>
        <w:rPr>
          <w:rFonts w:hint="eastAsia" w:ascii="宋体" w:cs="宋体"/>
          <w:sz w:val="21"/>
          <w:szCs w:val="21"/>
        </w:rPr>
        <w:t>适合购买本理财产品的投资人：</w:t>
      </w:r>
      <w:r>
        <w:rPr>
          <w:rFonts w:hint="eastAsia" w:ascii="宋体" w:cs="宋体"/>
          <w:b/>
          <w:sz w:val="21"/>
          <w:szCs w:val="21"/>
        </w:rPr>
        <w:t>本理财产品适合机构投资者及</w:t>
      </w:r>
      <w:r>
        <w:rPr>
          <w:rFonts w:hint="eastAsia" w:ascii="宋体" w:hAnsi="宋体" w:cs="宋体"/>
          <w:sz w:val="21"/>
          <w:szCs w:val="21"/>
        </w:rPr>
        <w:t>〖稳健型、平衡型、成长型、进取型〗</w:t>
      </w:r>
      <w:r>
        <w:rPr>
          <w:rFonts w:hint="eastAsia" w:ascii="宋体" w:cs="宋体"/>
          <w:b/>
          <w:sz w:val="21"/>
          <w:szCs w:val="21"/>
        </w:rPr>
        <w:t>的个人投资者。本理财产品总体风险程度较低，收益波动较小，虽然存在一些可能对产品本金和收益安全产生不利影响的因素，但产品本金出现损失的可能性较小</w:t>
      </w:r>
      <w:r>
        <w:rPr>
          <w:rFonts w:hint="eastAsia" w:ascii="宋体" w:cs="宋体"/>
          <w:b/>
          <w:bCs/>
          <w:sz w:val="21"/>
          <w:szCs w:val="21"/>
        </w:rPr>
        <w:t>。管理人不承诺本金保障，在发生最不利投资情形下（可能但并不一定发生），投资者可能无法取得收益并可能面临损失本金的风险。</w:t>
      </w:r>
      <w:r>
        <w:rPr>
          <w:rFonts w:hint="eastAsia" w:ascii="宋体" w:cs="宋体"/>
          <w:bCs/>
          <w:sz w:val="21"/>
          <w:szCs w:val="21"/>
        </w:rPr>
        <w:t>上述风险客观存在，敬请投资人予以充分关注！</w:t>
      </w:r>
      <w:r>
        <w:rPr>
          <w:rFonts w:ascii="宋体" w:cs="宋体"/>
          <w:bCs/>
          <w:sz w:val="21"/>
          <w:szCs w:val="21"/>
        </w:rPr>
        <w:t xml:space="preserve"> </w:t>
      </w:r>
    </w:p>
    <w:p>
      <w:pPr>
        <w:autoSpaceDE w:val="0"/>
        <w:autoSpaceDN w:val="0"/>
        <w:adjustRightInd w:val="0"/>
        <w:spacing w:line="360" w:lineRule="auto"/>
        <w:ind w:firstLine="420"/>
        <w:jc w:val="left"/>
        <w:rPr>
          <w:rFonts w:ascii="宋体" w:cs="宋体"/>
          <w:bCs/>
          <w:szCs w:val="21"/>
        </w:rPr>
      </w:pPr>
    </w:p>
    <w:p>
      <w:pPr>
        <w:pStyle w:val="17"/>
        <w:spacing w:line="360" w:lineRule="auto"/>
        <w:ind w:firstLine="2940" w:firstLineChars="1400"/>
        <w:jc w:val="right"/>
        <w:rPr>
          <w:rFonts w:ascii="宋体" w:hAnsi="宋体" w:cs="宋体"/>
          <w:color w:val="auto"/>
          <w:sz w:val="21"/>
          <w:szCs w:val="21"/>
        </w:rPr>
      </w:pPr>
      <w:r>
        <w:rPr>
          <w:rFonts w:hint="eastAsia" w:ascii="宋体" w:hAnsi="宋体" w:cs="宋体"/>
          <w:color w:val="auto"/>
          <w:sz w:val="21"/>
          <w:szCs w:val="21"/>
        </w:rPr>
        <w:t>风险提示方： 杭银理财有限责任公司</w:t>
      </w:r>
    </w:p>
    <w:p>
      <w:pPr>
        <w:pStyle w:val="17"/>
        <w:spacing w:line="360" w:lineRule="auto"/>
        <w:jc w:val="both"/>
        <w:rPr>
          <w:rFonts w:ascii="宋体" w:hAnsi="宋体"/>
          <w:b/>
          <w:color w:val="auto"/>
          <w:sz w:val="21"/>
          <w:szCs w:val="21"/>
        </w:rPr>
      </w:pPr>
      <w:r>
        <w:rPr>
          <w:rFonts w:hint="eastAsia" w:ascii="宋体" w:hAnsi="宋体"/>
          <w:b/>
          <w:color w:val="auto"/>
          <w:sz w:val="21"/>
          <w:szCs w:val="21"/>
        </w:rPr>
        <w:t>本产品全部销售工作及投资者适当性评估由销售机构负责。个人投资者应确保其在销售机构所作的风险承受能力评级结果由投资者本人填写，且风险承受能力等级不低于本产品风险评级。若投资者风险承受能力评估已超过一年，或影响风险承受能力的因素发生变化，请及时完成风险承受能力的重新评估。</w:t>
      </w:r>
    </w:p>
    <w:p>
      <w:pPr>
        <w:pStyle w:val="17"/>
        <w:spacing w:line="360" w:lineRule="auto"/>
        <w:jc w:val="center"/>
        <w:rPr>
          <w:rFonts w:ascii="宋体" w:hAnsi="宋体"/>
          <w:b/>
          <w:color w:val="auto"/>
          <w:sz w:val="21"/>
          <w:szCs w:val="21"/>
        </w:rPr>
      </w:pPr>
    </w:p>
    <w:p>
      <w:pPr>
        <w:pStyle w:val="17"/>
        <w:spacing w:line="360" w:lineRule="auto"/>
        <w:jc w:val="center"/>
        <w:rPr>
          <w:rFonts w:ascii="宋体" w:hAnsi="宋体"/>
          <w:b/>
          <w:color w:val="auto"/>
          <w:sz w:val="21"/>
          <w:szCs w:val="21"/>
        </w:rPr>
      </w:pPr>
    </w:p>
    <w:p>
      <w:pPr>
        <w:pStyle w:val="17"/>
        <w:spacing w:line="360" w:lineRule="auto"/>
        <w:jc w:val="center"/>
        <w:rPr>
          <w:rFonts w:ascii="宋体" w:hAnsi="宋体"/>
          <w:b/>
          <w:color w:val="auto"/>
          <w:sz w:val="21"/>
          <w:szCs w:val="21"/>
        </w:rPr>
      </w:pPr>
    </w:p>
    <w:p>
      <w:pPr>
        <w:pStyle w:val="17"/>
        <w:spacing w:line="360" w:lineRule="auto"/>
        <w:jc w:val="center"/>
        <w:rPr>
          <w:rFonts w:ascii="宋体" w:hAnsi="宋体"/>
          <w:b/>
          <w:color w:val="auto"/>
          <w:sz w:val="21"/>
          <w:szCs w:val="21"/>
        </w:rPr>
      </w:pPr>
      <w:r>
        <w:rPr>
          <w:rFonts w:hint="eastAsia" w:ascii="宋体" w:hAnsi="宋体"/>
          <w:b/>
          <w:color w:val="auto"/>
          <w:sz w:val="21"/>
          <w:szCs w:val="21"/>
        </w:rPr>
        <w:t>投资者确认栏</w:t>
      </w:r>
    </w:p>
    <w:p>
      <w:pPr>
        <w:pStyle w:val="17"/>
        <w:spacing w:line="420" w:lineRule="exact"/>
        <w:jc w:val="both"/>
        <w:rPr>
          <w:rFonts w:ascii="宋体" w:hAnsi="宋体"/>
          <w:color w:val="auto"/>
          <w:sz w:val="21"/>
          <w:szCs w:val="21"/>
        </w:rPr>
      </w:pPr>
      <w:r>
        <w:rPr>
          <w:rFonts w:hint="eastAsia" w:ascii="宋体" w:hAnsi="宋体"/>
          <w:color w:val="auto"/>
          <w:sz w:val="21"/>
          <w:szCs w:val="21"/>
        </w:rPr>
        <w:t>本人经销售机构评估的风险承受能力等级为（投资者填写）：</w:t>
      </w:r>
    </w:p>
    <w:p>
      <w:pPr>
        <w:pStyle w:val="17"/>
        <w:spacing w:line="420" w:lineRule="exact"/>
        <w:jc w:val="both"/>
        <w:rPr>
          <w:rFonts w:ascii="宋体" w:hAnsi="宋体"/>
          <w:color w:val="auto"/>
          <w:sz w:val="21"/>
          <w:szCs w:val="21"/>
          <w:u w:val="single"/>
        </w:rPr>
      </w:pPr>
      <w:r>
        <w:rPr>
          <w:rFonts w:hint="eastAsia" w:ascii="宋体" w:hAnsi="宋体"/>
          <w:color w:val="auto"/>
          <w:sz w:val="21"/>
          <w:szCs w:val="21"/>
          <w:u w:val="single"/>
        </w:rPr>
        <w:t xml:space="preserve">□保守型        □稳健型        □平衡型        □成长型        □进取型    </w:t>
      </w:r>
    </w:p>
    <w:p>
      <w:pPr>
        <w:pStyle w:val="17"/>
        <w:spacing w:line="420" w:lineRule="exact"/>
        <w:jc w:val="both"/>
        <w:rPr>
          <w:rFonts w:ascii="宋体" w:hAnsi="宋体"/>
          <w:b/>
          <w:color w:val="auto"/>
          <w:sz w:val="21"/>
          <w:szCs w:val="21"/>
        </w:rPr>
      </w:pPr>
      <w:r>
        <w:rPr>
          <w:rFonts w:hint="eastAsia" w:ascii="宋体" w:hAnsi="宋体"/>
          <w:color w:val="auto"/>
          <w:sz w:val="21"/>
          <w:szCs w:val="21"/>
        </w:rPr>
        <w:t>（投资者需全文抄录以下文字以完成确认：</w:t>
      </w:r>
      <w:r>
        <w:rPr>
          <w:rFonts w:hint="eastAsia" w:ascii="宋体" w:hAnsi="宋体"/>
          <w:b/>
          <w:color w:val="auto"/>
          <w:sz w:val="21"/>
          <w:szCs w:val="21"/>
        </w:rPr>
        <w:t xml:space="preserve">“本人已经阅读上述风险揭示，愿意承担投资风险。”） </w:t>
      </w:r>
    </w:p>
    <w:p>
      <w:pPr>
        <w:pStyle w:val="17"/>
        <w:spacing w:line="420" w:lineRule="exact"/>
        <w:jc w:val="both"/>
        <w:rPr>
          <w:rFonts w:ascii="宋体" w:hAnsi="宋体"/>
          <w:color w:val="auto"/>
          <w:sz w:val="21"/>
          <w:szCs w:val="21"/>
          <w:u w:val="single"/>
        </w:rPr>
      </w:pPr>
      <w:r>
        <w:rPr>
          <w:rFonts w:hint="eastAsia" w:ascii="宋体" w:hAnsi="宋体"/>
          <w:color w:val="auto"/>
          <w:sz w:val="21"/>
          <w:szCs w:val="21"/>
        </w:rPr>
        <w:t>本人同时确认如下：</w:t>
      </w:r>
      <w:r>
        <w:rPr>
          <w:rFonts w:hint="eastAsia" w:ascii="宋体" w:hAnsi="宋体"/>
          <w:color w:val="auto"/>
          <w:sz w:val="21"/>
          <w:szCs w:val="21"/>
          <w:u w:val="single"/>
        </w:rPr>
        <w:t xml:space="preserve">                                                          </w:t>
      </w:r>
    </w:p>
    <w:p>
      <w:pPr>
        <w:pStyle w:val="17"/>
        <w:spacing w:line="420" w:lineRule="exact"/>
        <w:jc w:val="both"/>
        <w:rPr>
          <w:rFonts w:ascii="宋体" w:hAnsi="宋体"/>
          <w:color w:val="auto"/>
          <w:sz w:val="21"/>
          <w:szCs w:val="21"/>
        </w:rPr>
      </w:pPr>
      <w:r>
        <w:rPr>
          <w:rFonts w:hint="eastAsia" w:ascii="宋体" w:hAnsi="宋体"/>
          <w:color w:val="auto"/>
          <w:sz w:val="21"/>
          <w:szCs w:val="21"/>
          <w:u w:val="single"/>
        </w:rPr>
        <w:t xml:space="preserve">                                                                                </w:t>
      </w:r>
    </w:p>
    <w:p>
      <w:pPr>
        <w:rPr>
          <w:rFonts w:ascii="宋体" w:hAnsi="宋体"/>
          <w:kern w:val="0"/>
          <w:szCs w:val="21"/>
        </w:rPr>
      </w:pPr>
    </w:p>
    <w:p>
      <w:pPr>
        <w:rPr>
          <w:rFonts w:ascii="宋体" w:hAnsi="宋体"/>
          <w:kern w:val="0"/>
          <w:szCs w:val="21"/>
        </w:rPr>
      </w:pPr>
      <w:r>
        <w:rPr>
          <w:rFonts w:hint="eastAsia" w:ascii="宋体" w:hAnsi="宋体"/>
          <w:kern w:val="0"/>
          <w:szCs w:val="21"/>
        </w:rPr>
        <w:t>确认人（签字）：</w:t>
      </w:r>
      <w:r>
        <w:rPr>
          <w:rFonts w:hint="eastAsia" w:ascii="宋体" w:hAnsi="宋体"/>
          <w:kern w:val="0"/>
          <w:szCs w:val="21"/>
          <w:u w:val="single"/>
        </w:rPr>
        <w:t xml:space="preserve">                    </w:t>
      </w:r>
      <w:r>
        <w:rPr>
          <w:rFonts w:hint="eastAsia" w:ascii="宋体" w:hAnsi="宋体"/>
          <w:kern w:val="0"/>
          <w:szCs w:val="21"/>
        </w:rPr>
        <w:t xml:space="preserve">              日期：</w:t>
      </w:r>
      <w:r>
        <w:rPr>
          <w:rFonts w:hint="eastAsia" w:ascii="宋体" w:hAnsi="宋体"/>
          <w:kern w:val="0"/>
          <w:szCs w:val="21"/>
          <w:u w:val="single"/>
        </w:rPr>
        <w:t xml:space="preserve">          </w:t>
      </w:r>
      <w:r>
        <w:rPr>
          <w:rFonts w:hint="eastAsia" w:ascii="宋体" w:hAnsi="宋体"/>
          <w:kern w:val="0"/>
          <w:szCs w:val="21"/>
        </w:rPr>
        <w:t>年</w:t>
      </w:r>
      <w:r>
        <w:rPr>
          <w:rFonts w:hint="eastAsia" w:ascii="宋体" w:hAnsi="宋体"/>
          <w:kern w:val="0"/>
          <w:szCs w:val="21"/>
          <w:u w:val="single"/>
        </w:rPr>
        <w:t xml:space="preserve">    </w:t>
      </w:r>
      <w:r>
        <w:rPr>
          <w:rFonts w:hint="eastAsia" w:ascii="宋体" w:hAnsi="宋体"/>
          <w:kern w:val="0"/>
          <w:szCs w:val="21"/>
        </w:rPr>
        <w:t>月</w:t>
      </w:r>
      <w:r>
        <w:rPr>
          <w:rFonts w:hint="eastAsia" w:ascii="宋体" w:hAnsi="宋体"/>
          <w:kern w:val="0"/>
          <w:szCs w:val="21"/>
          <w:u w:val="single"/>
        </w:rPr>
        <w:t xml:space="preserve">    </w:t>
      </w:r>
      <w:r>
        <w:rPr>
          <w:rFonts w:hint="eastAsia" w:ascii="宋体" w:hAnsi="宋体"/>
          <w:kern w:val="0"/>
          <w:szCs w:val="21"/>
        </w:rPr>
        <w:t>日</w:t>
      </w:r>
    </w:p>
    <w:p>
      <w:pPr>
        <w:snapToGrid w:val="0"/>
        <w:rPr>
          <w:rFonts w:ascii="宋体" w:hAnsi="宋体"/>
          <w:kern w:val="0"/>
          <w:szCs w:val="21"/>
          <w:u w:val="single"/>
        </w:rPr>
      </w:pPr>
    </w:p>
    <w:p>
      <w:pPr>
        <w:autoSpaceDE w:val="0"/>
        <w:autoSpaceDN w:val="0"/>
        <w:adjustRightInd w:val="0"/>
        <w:spacing w:line="420" w:lineRule="exact"/>
        <w:jc w:val="center"/>
        <w:rPr>
          <w:rFonts w:ascii="宋体" w:hAnsi="宋体"/>
          <w:b/>
          <w:kern w:val="0"/>
          <w:szCs w:val="21"/>
        </w:rPr>
      </w:pPr>
    </w:p>
    <w:p>
      <w:pPr>
        <w:autoSpaceDE w:val="0"/>
        <w:autoSpaceDN w:val="0"/>
        <w:adjustRightInd w:val="0"/>
        <w:spacing w:line="420" w:lineRule="exact"/>
        <w:jc w:val="center"/>
        <w:rPr>
          <w:rFonts w:ascii="宋体" w:hAnsi="宋体"/>
          <w:b/>
          <w:kern w:val="0"/>
          <w:szCs w:val="21"/>
        </w:rPr>
      </w:pPr>
    </w:p>
    <w:p>
      <w:pPr>
        <w:pStyle w:val="17"/>
        <w:spacing w:line="360" w:lineRule="auto"/>
        <w:jc w:val="center"/>
        <w:rPr>
          <w:rFonts w:ascii="宋体" w:cs="宋体"/>
          <w:b/>
          <w:sz w:val="21"/>
          <w:szCs w:val="21"/>
        </w:rPr>
      </w:pPr>
      <w:r>
        <w:rPr>
          <w:rFonts w:hint="eastAsia" w:ascii="宋体" w:hAnsi="宋体" w:cs="宋体"/>
          <w:b/>
          <w:color w:val="auto"/>
          <w:sz w:val="21"/>
          <w:szCs w:val="21"/>
        </w:rPr>
        <w:t>投资者确认栏（机构投资者）</w:t>
      </w:r>
    </w:p>
    <w:p>
      <w:pPr>
        <w:pStyle w:val="17"/>
        <w:spacing w:line="360" w:lineRule="auto"/>
        <w:jc w:val="center"/>
        <w:rPr>
          <w:rFonts w:ascii="宋体" w:cs="宋体"/>
          <w:b/>
          <w:sz w:val="21"/>
          <w:szCs w:val="21"/>
        </w:rPr>
      </w:pPr>
    </w:p>
    <w:p>
      <w:pPr>
        <w:widowControl/>
        <w:contextualSpacing/>
        <w:outlineLvl w:val="0"/>
        <w:rPr>
          <w:rFonts w:ascii="宋体" w:hAnsi="宋体" w:cs="宋体"/>
          <w:b/>
          <w:bCs/>
          <w:szCs w:val="21"/>
        </w:rPr>
      </w:pPr>
      <w:r>
        <w:rPr>
          <w:rFonts w:hint="eastAsia" w:ascii="宋体" w:hAnsi="宋体" w:cs="宋体"/>
          <w:b/>
          <w:bCs/>
          <w:szCs w:val="21"/>
        </w:rPr>
        <w:t>声明：我单位已充分阅读《投资者权益须知》《</w:t>
      </w:r>
      <w:r>
        <w:rPr>
          <w:rFonts w:hint="eastAsia" w:ascii="宋体" w:hAnsi="宋体" w:cs="宋体"/>
          <w:b/>
          <w:szCs w:val="21"/>
        </w:rPr>
        <w:t>杭银理财幸福99丰裕固收理财计划</w:t>
      </w:r>
      <w:r>
        <w:rPr>
          <w:rFonts w:hint="eastAsia" w:ascii="宋体" w:hAnsi="宋体" w:cs="宋体"/>
          <w:b/>
          <w:bCs/>
          <w:szCs w:val="21"/>
        </w:rPr>
        <w:t>产品说明书》</w:t>
      </w:r>
      <w:r>
        <w:rPr>
          <w:rFonts w:hint="eastAsia" w:ascii="宋体" w:hAnsi="宋体"/>
          <w:b/>
          <w:bCs/>
          <w:szCs w:val="21"/>
        </w:rPr>
        <w:t>《杭银理财理财计划投资协议书》《杭银理财理财计划销售协议书》</w:t>
      </w:r>
      <w:r>
        <w:rPr>
          <w:rFonts w:hint="eastAsia" w:ascii="宋体" w:hAnsi="宋体" w:cs="宋体"/>
          <w:b/>
          <w:bCs/>
          <w:szCs w:val="21"/>
        </w:rPr>
        <w:t>及本风险揭示书，并已对其作全面、准确的理解，充分认识到投资本理财产品要求承担的风险，并自愿承担此风险。</w:t>
      </w:r>
    </w:p>
    <w:p>
      <w:pPr>
        <w:widowControl/>
        <w:contextualSpacing/>
        <w:outlineLvl w:val="0"/>
        <w:rPr>
          <w:rFonts w:ascii="宋体"/>
          <w:szCs w:val="21"/>
        </w:rPr>
      </w:pPr>
    </w:p>
    <w:p>
      <w:pPr>
        <w:widowControl/>
        <w:contextualSpacing/>
        <w:outlineLvl w:val="0"/>
        <w:rPr>
          <w:rFonts w:ascii="宋体"/>
          <w:szCs w:val="21"/>
        </w:rPr>
      </w:pPr>
    </w:p>
    <w:p>
      <w:pPr>
        <w:widowControl/>
        <w:contextualSpacing/>
        <w:outlineLvl w:val="0"/>
        <w:rPr>
          <w:rFonts w:ascii="宋体" w:hAnsi="宋体" w:cs="宋体"/>
          <w:kern w:val="0"/>
          <w:szCs w:val="21"/>
        </w:rPr>
      </w:pPr>
      <w:r>
        <w:rPr>
          <w:rFonts w:hint="eastAsia" w:ascii="宋体" w:hAnsi="宋体" w:cs="宋体"/>
          <w:kern w:val="0"/>
          <w:szCs w:val="21"/>
        </w:rPr>
        <w:t>投资者（公章）</w:t>
      </w:r>
      <w:r>
        <w:rPr>
          <w:rFonts w:ascii="宋体" w:hAnsi="宋体" w:cs="宋体"/>
          <w:kern w:val="0"/>
          <w:szCs w:val="21"/>
        </w:rPr>
        <w:t xml:space="preserve">                          </w:t>
      </w:r>
      <w:r>
        <w:rPr>
          <w:rFonts w:hint="eastAsia" w:ascii="宋体" w:hAnsi="宋体" w:cs="宋体"/>
          <w:kern w:val="0"/>
          <w:szCs w:val="21"/>
        </w:rPr>
        <w:t xml:space="preserve">            法定代表人（签章）或授权代理人</w:t>
      </w:r>
    </w:p>
    <w:p>
      <w:pPr>
        <w:widowControl/>
        <w:contextualSpacing/>
        <w:outlineLvl w:val="0"/>
        <w:rPr>
          <w:rFonts w:ascii="宋体" w:hAnsi="宋体" w:cs="宋体"/>
          <w:kern w:val="0"/>
          <w:szCs w:val="21"/>
        </w:rPr>
      </w:pPr>
    </w:p>
    <w:p>
      <w:pPr>
        <w:widowControl/>
        <w:contextualSpacing/>
        <w:outlineLvl w:val="0"/>
        <w:rPr>
          <w:rFonts w:ascii="宋体" w:hAnsi="宋体" w:cs="宋体"/>
          <w:kern w:val="0"/>
          <w:szCs w:val="21"/>
        </w:rPr>
      </w:pPr>
      <w:r>
        <w:rPr>
          <w:rFonts w:ascii="宋体" w:hAnsi="宋体" w:cs="宋体"/>
          <w:kern w:val="0"/>
          <w:szCs w:val="21"/>
        </w:rPr>
        <w:t xml:space="preserve">                                        </w:t>
      </w:r>
      <w:r>
        <w:rPr>
          <w:rFonts w:hint="eastAsia" w:ascii="宋体" w:hAnsi="宋体" w:cs="宋体"/>
          <w:kern w:val="0"/>
          <w:szCs w:val="21"/>
        </w:rPr>
        <w:t xml:space="preserve">          日期：</w:t>
      </w:r>
      <w:r>
        <w:rPr>
          <w:rFonts w:hint="eastAsia" w:ascii="宋体" w:hAnsi="宋体"/>
          <w:kern w:val="0"/>
          <w:szCs w:val="21"/>
          <w:u w:val="single"/>
        </w:rPr>
        <w:t xml:space="preserve">          </w:t>
      </w:r>
      <w:r>
        <w:rPr>
          <w:rFonts w:hint="eastAsia" w:ascii="宋体" w:hAnsi="宋体" w:cs="宋体"/>
          <w:kern w:val="0"/>
          <w:szCs w:val="21"/>
        </w:rPr>
        <w:t>年</w:t>
      </w:r>
      <w:r>
        <w:rPr>
          <w:rFonts w:hint="eastAsia" w:ascii="宋体" w:hAnsi="宋体"/>
          <w:kern w:val="0"/>
          <w:szCs w:val="21"/>
          <w:u w:val="single"/>
        </w:rPr>
        <w:t xml:space="preserve">    </w:t>
      </w:r>
      <w:r>
        <w:rPr>
          <w:rFonts w:ascii="宋体" w:hAnsi="宋体" w:cs="宋体"/>
          <w:kern w:val="0"/>
          <w:szCs w:val="21"/>
        </w:rPr>
        <w:t xml:space="preserve"> </w:t>
      </w:r>
      <w:r>
        <w:rPr>
          <w:rFonts w:hint="eastAsia" w:ascii="宋体" w:hAnsi="宋体" w:cs="宋体"/>
          <w:kern w:val="0"/>
          <w:szCs w:val="21"/>
        </w:rPr>
        <w:t>月</w:t>
      </w:r>
      <w:r>
        <w:rPr>
          <w:rFonts w:hint="eastAsia" w:ascii="宋体" w:hAnsi="宋体"/>
          <w:kern w:val="0"/>
          <w:szCs w:val="21"/>
          <w:u w:val="single"/>
        </w:rPr>
        <w:t xml:space="preserve">    </w:t>
      </w:r>
      <w:r>
        <w:rPr>
          <w:rFonts w:hint="eastAsia" w:ascii="宋体" w:hAnsi="宋体" w:cs="宋体"/>
          <w:kern w:val="0"/>
          <w:szCs w:val="21"/>
        </w:rPr>
        <w:t>日</w:t>
      </w:r>
    </w:p>
    <w:p>
      <w:pPr>
        <w:autoSpaceDE w:val="0"/>
        <w:autoSpaceDN w:val="0"/>
        <w:adjustRightInd w:val="0"/>
        <w:spacing w:line="420" w:lineRule="exact"/>
        <w:jc w:val="center"/>
        <w:rPr>
          <w:rFonts w:ascii="宋体" w:hAnsi="宋体"/>
          <w:b/>
          <w:kern w:val="0"/>
          <w:szCs w:val="21"/>
        </w:rPr>
      </w:pPr>
    </w:p>
    <w:p>
      <w:pPr>
        <w:autoSpaceDE w:val="0"/>
        <w:autoSpaceDN w:val="0"/>
        <w:adjustRightInd w:val="0"/>
        <w:spacing w:line="420" w:lineRule="exact"/>
        <w:jc w:val="center"/>
        <w:rPr>
          <w:rFonts w:ascii="宋体" w:hAnsi="宋体"/>
          <w:b/>
          <w:kern w:val="0"/>
          <w:szCs w:val="21"/>
        </w:rPr>
      </w:pPr>
    </w:p>
    <w:p>
      <w:pPr>
        <w:autoSpaceDE w:val="0"/>
        <w:autoSpaceDN w:val="0"/>
        <w:adjustRightInd w:val="0"/>
        <w:spacing w:line="420" w:lineRule="exact"/>
        <w:jc w:val="center"/>
        <w:rPr>
          <w:rFonts w:ascii="宋体" w:hAnsi="宋体"/>
          <w:b/>
          <w:kern w:val="0"/>
          <w:szCs w:val="21"/>
        </w:rPr>
      </w:pPr>
    </w:p>
    <w:p>
      <w:pPr>
        <w:autoSpaceDE w:val="0"/>
        <w:autoSpaceDN w:val="0"/>
        <w:adjustRightInd w:val="0"/>
        <w:spacing w:line="420" w:lineRule="exact"/>
        <w:jc w:val="center"/>
        <w:rPr>
          <w:rFonts w:ascii="宋体" w:hAnsi="宋体"/>
          <w:b/>
          <w:kern w:val="0"/>
          <w:szCs w:val="21"/>
        </w:rPr>
      </w:pPr>
    </w:p>
    <w:p>
      <w:pPr>
        <w:autoSpaceDE w:val="0"/>
        <w:autoSpaceDN w:val="0"/>
        <w:adjustRightInd w:val="0"/>
        <w:spacing w:line="420" w:lineRule="exact"/>
        <w:jc w:val="center"/>
        <w:rPr>
          <w:rFonts w:ascii="宋体" w:hAnsi="宋体"/>
          <w:b/>
          <w:kern w:val="0"/>
          <w:szCs w:val="21"/>
        </w:rPr>
      </w:pPr>
    </w:p>
    <w:p>
      <w:pPr>
        <w:autoSpaceDE w:val="0"/>
        <w:autoSpaceDN w:val="0"/>
        <w:adjustRightInd w:val="0"/>
        <w:spacing w:line="420" w:lineRule="exact"/>
        <w:jc w:val="center"/>
        <w:rPr>
          <w:rFonts w:ascii="宋体" w:hAnsi="宋体"/>
          <w:b/>
          <w:kern w:val="0"/>
          <w:szCs w:val="21"/>
        </w:rPr>
      </w:pPr>
    </w:p>
    <w:p>
      <w:r>
        <w:br w:type="page"/>
      </w:r>
    </w:p>
    <w:p>
      <w:pPr>
        <w:autoSpaceDE w:val="0"/>
        <w:autoSpaceDN w:val="0"/>
        <w:adjustRightInd w:val="0"/>
        <w:spacing w:line="420" w:lineRule="exact"/>
        <w:jc w:val="center"/>
        <w:rPr>
          <w:rFonts w:ascii="宋体" w:hAnsi="宋体" w:cs="宋体"/>
          <w:b/>
          <w:kern w:val="0"/>
          <w:szCs w:val="21"/>
        </w:rPr>
      </w:pPr>
      <w:r>
        <w:rPr>
          <w:rFonts w:hint="eastAsia" w:ascii="宋体" w:hAnsi="宋体" w:cs="宋体"/>
          <w:b/>
          <w:kern w:val="0"/>
          <w:szCs w:val="21"/>
        </w:rPr>
        <w:t>杭银理财幸福99丰裕固收22065</w:t>
      </w:r>
      <w:r>
        <w:rPr>
          <w:rFonts w:ascii="宋体" w:hAnsi="宋体" w:cs="宋体"/>
          <w:b/>
          <w:kern w:val="0"/>
          <w:szCs w:val="21"/>
        </w:rPr>
        <w:t>期</w:t>
      </w:r>
      <w:r>
        <w:rPr>
          <w:rFonts w:hint="eastAsia" w:ascii="宋体" w:hAnsi="宋体" w:cs="宋体"/>
          <w:b/>
          <w:kern w:val="0"/>
          <w:szCs w:val="21"/>
        </w:rPr>
        <w:t>理财计划产品说明书</w:t>
      </w:r>
    </w:p>
    <w:p>
      <w:pPr>
        <w:autoSpaceDE w:val="0"/>
        <w:autoSpaceDN w:val="0"/>
        <w:adjustRightInd w:val="0"/>
        <w:spacing w:line="420" w:lineRule="exact"/>
        <w:ind w:right="420"/>
        <w:jc w:val="center"/>
        <w:rPr>
          <w:rFonts w:ascii="宋体" w:hAnsi="宋体" w:cs="宋体"/>
          <w:b/>
          <w:kern w:val="0"/>
          <w:szCs w:val="21"/>
        </w:rPr>
      </w:pPr>
      <w:r>
        <w:rPr>
          <w:rFonts w:hint="eastAsia" w:ascii="宋体" w:hAnsi="宋体" w:cs="宋体"/>
          <w:color w:val="000000"/>
        </w:rPr>
        <w:t xml:space="preserve">                                                             备案编号</w:t>
      </w:r>
      <w:r>
        <w:rPr>
          <w:rFonts w:hint="eastAsia" w:ascii="宋体" w:hAnsi="宋体" w:cs="宋体"/>
          <w:color w:val="000000"/>
          <w:szCs w:val="21"/>
        </w:rPr>
        <w:t>:</w:t>
      </w:r>
      <w:r>
        <w:t xml:space="preserve"> Z7002222000101</w:t>
      </w:r>
    </w:p>
    <w:p>
      <w:pPr>
        <w:autoSpaceDE w:val="0"/>
        <w:autoSpaceDN w:val="0"/>
        <w:adjustRightInd w:val="0"/>
        <w:spacing w:line="420" w:lineRule="exact"/>
        <w:ind w:right="420"/>
        <w:rPr>
          <w:rFonts w:ascii="宋体" w:hAnsi="宋体" w:cs="宋体"/>
          <w:b/>
          <w:kern w:val="0"/>
          <w:szCs w:val="21"/>
        </w:rPr>
      </w:pPr>
    </w:p>
    <w:p>
      <w:pPr>
        <w:pStyle w:val="6"/>
        <w:numPr>
          <w:ilvl w:val="0"/>
          <w:numId w:val="2"/>
        </w:numPr>
        <w:spacing w:before="0" w:after="0" w:line="300" w:lineRule="auto"/>
        <w:jc w:val="both"/>
        <w:rPr>
          <w:color w:val="000000"/>
          <w:sz w:val="28"/>
          <w:szCs w:val="28"/>
        </w:rPr>
      </w:pPr>
      <w:r>
        <w:rPr>
          <w:rFonts w:hint="eastAsia" w:cs="宋体"/>
          <w:color w:val="000000"/>
          <w:sz w:val="28"/>
          <w:szCs w:val="28"/>
        </w:rPr>
        <w:t>重要须知</w:t>
      </w:r>
    </w:p>
    <w:p>
      <w:pPr>
        <w:pStyle w:val="17"/>
        <w:numPr>
          <w:ilvl w:val="0"/>
          <w:numId w:val="3"/>
        </w:numPr>
        <w:adjustRightInd/>
        <w:spacing w:line="300" w:lineRule="auto"/>
        <w:rPr>
          <w:rFonts w:ascii="宋体"/>
          <w:sz w:val="21"/>
          <w:szCs w:val="21"/>
        </w:rPr>
      </w:pPr>
      <w:r>
        <w:rPr>
          <w:rFonts w:hint="eastAsia" w:ascii="宋体" w:cs="宋体"/>
          <w:sz w:val="21"/>
          <w:szCs w:val="21"/>
        </w:rPr>
        <w:t>本产品不等同于银行存款和预期收益型理财产品。</w:t>
      </w:r>
    </w:p>
    <w:p>
      <w:pPr>
        <w:pStyle w:val="17"/>
        <w:numPr>
          <w:ilvl w:val="0"/>
          <w:numId w:val="3"/>
        </w:numPr>
        <w:adjustRightInd/>
        <w:spacing w:line="300" w:lineRule="auto"/>
        <w:rPr>
          <w:rFonts w:ascii="宋体"/>
          <w:sz w:val="21"/>
          <w:szCs w:val="21"/>
        </w:rPr>
      </w:pPr>
      <w:r>
        <w:rPr>
          <w:rFonts w:hint="eastAsia" w:ascii="宋体" w:cs="宋体"/>
          <w:sz w:val="21"/>
          <w:szCs w:val="21"/>
        </w:rPr>
        <w:t>本产品仅向依据中华人民共和国有关法律法规及本产品说明书规定可以购买本产品的投资者发售</w:t>
      </w:r>
      <w:r>
        <w:rPr>
          <w:rFonts w:ascii="宋体" w:cs="宋体"/>
          <w:sz w:val="21"/>
          <w:szCs w:val="21"/>
        </w:rPr>
        <w:t>。</w:t>
      </w:r>
    </w:p>
    <w:p>
      <w:pPr>
        <w:pStyle w:val="17"/>
        <w:numPr>
          <w:ilvl w:val="0"/>
          <w:numId w:val="3"/>
        </w:numPr>
        <w:adjustRightInd/>
        <w:spacing w:line="300" w:lineRule="auto"/>
        <w:rPr>
          <w:rFonts w:ascii="宋体"/>
          <w:sz w:val="21"/>
          <w:szCs w:val="21"/>
        </w:rPr>
      </w:pPr>
      <w:r>
        <w:rPr>
          <w:rFonts w:hint="eastAsia" w:ascii="宋体" w:cs="宋体"/>
          <w:sz w:val="21"/>
          <w:szCs w:val="21"/>
        </w:rPr>
        <w:t xml:space="preserve">在购买本产品前，请投资者确保完全明白本产品的性质、其中涉及的风险以及投资者的自身情况。投资者若对本产品说明书的内容有任何疑问，请向销售机构咨询。 </w:t>
      </w:r>
    </w:p>
    <w:p>
      <w:pPr>
        <w:pStyle w:val="17"/>
        <w:numPr>
          <w:ilvl w:val="0"/>
          <w:numId w:val="3"/>
        </w:numPr>
        <w:adjustRightInd/>
        <w:spacing w:line="300" w:lineRule="auto"/>
        <w:rPr>
          <w:rFonts w:ascii="宋体"/>
          <w:sz w:val="21"/>
          <w:szCs w:val="21"/>
        </w:rPr>
      </w:pPr>
      <w:r>
        <w:rPr>
          <w:rFonts w:hint="eastAsia" w:ascii="宋体" w:cs="宋体"/>
          <w:b/>
          <w:bCs/>
          <w:sz w:val="21"/>
          <w:szCs w:val="21"/>
        </w:rPr>
        <w:t>本产品是非保本净值型产品</w:t>
      </w:r>
      <w:r>
        <w:rPr>
          <w:rFonts w:hint="eastAsia" w:ascii="宋体" w:cs="宋体"/>
          <w:sz w:val="21"/>
          <w:szCs w:val="21"/>
        </w:rPr>
        <w:t>。</w:t>
      </w:r>
      <w:r>
        <w:rPr>
          <w:rFonts w:hint="eastAsia" w:ascii="宋体" w:cs="宋体"/>
          <w:b/>
          <w:sz w:val="21"/>
          <w:szCs w:val="21"/>
        </w:rPr>
        <w:t>管理人对本理财产品的本金和收益不提供保证承诺。</w:t>
      </w:r>
      <w:r>
        <w:rPr>
          <w:rFonts w:hint="eastAsia" w:ascii="宋体" w:cs="宋体"/>
          <w:sz w:val="21"/>
          <w:szCs w:val="21"/>
        </w:rPr>
        <w:t>您应充分认识投资风险，谨慎投资。本产品主要风险为理财本金及收益风险，在极端市场情况下，投资者将损失本金。请投资者基于自身的独立判断进行投资决策。</w:t>
      </w:r>
    </w:p>
    <w:p>
      <w:pPr>
        <w:pStyle w:val="17"/>
        <w:numPr>
          <w:ilvl w:val="0"/>
          <w:numId w:val="3"/>
        </w:numPr>
        <w:adjustRightInd/>
        <w:spacing w:line="300" w:lineRule="auto"/>
        <w:rPr>
          <w:rFonts w:ascii="宋体"/>
          <w:sz w:val="21"/>
          <w:szCs w:val="21"/>
        </w:rPr>
      </w:pPr>
      <w:r>
        <w:rPr>
          <w:rFonts w:hint="eastAsia" w:ascii="宋体" w:cs="宋体"/>
          <w:sz w:val="21"/>
          <w:szCs w:val="21"/>
        </w:rPr>
        <w:t>投资者签署理财合约认购本产品前，应当仔细阅读本说明书及其他相关销售文件的全部内容，同时向管理人或销售机构了解本产品的具体信息，确保自身完全了解该项投资的性质、投资所涉及的风险以及自身的风险承受能力，在慎重考虑后独立做出认购决定。本说明书及投资者签署的《杭银理财理财计划投资协议书》《杭银理财理财计划销售协议书》《</w:t>
      </w:r>
      <w:r>
        <w:rPr>
          <w:rFonts w:hint="eastAsia" w:ascii="宋体" w:hAnsi="宋体" w:cs="宋体"/>
          <w:sz w:val="21"/>
          <w:szCs w:val="21"/>
        </w:rPr>
        <w:t>杭银理财幸福99丰裕固收理财计划风险揭示书</w:t>
      </w:r>
      <w:r>
        <w:rPr>
          <w:rFonts w:hint="eastAsia" w:ascii="宋体" w:cs="宋体"/>
          <w:sz w:val="21"/>
          <w:szCs w:val="21"/>
        </w:rPr>
        <w:t>》《投资者权益须知》，将共同构成投资者与管理人之间的理财计划交易合同。</w:t>
      </w:r>
    </w:p>
    <w:p>
      <w:pPr>
        <w:pStyle w:val="17"/>
        <w:numPr>
          <w:ilvl w:val="0"/>
          <w:numId w:val="3"/>
        </w:numPr>
        <w:adjustRightInd/>
        <w:spacing w:line="300" w:lineRule="auto"/>
        <w:rPr>
          <w:rFonts w:ascii="宋体"/>
          <w:sz w:val="21"/>
          <w:szCs w:val="21"/>
        </w:rPr>
      </w:pPr>
      <w:r>
        <w:rPr>
          <w:rFonts w:hint="eastAsia" w:ascii="宋体" w:cs="宋体"/>
          <w:sz w:val="21"/>
          <w:szCs w:val="21"/>
        </w:rPr>
        <w:t>投资者在认购本产品后，应随时关注本产品的信息披露情况，及时获取相关信息。如对本产品有任何疑问、异议或意见，请联系管理人或销售机构。</w:t>
      </w:r>
    </w:p>
    <w:p>
      <w:pPr>
        <w:pStyle w:val="17"/>
        <w:numPr>
          <w:ilvl w:val="0"/>
          <w:numId w:val="3"/>
        </w:numPr>
        <w:adjustRightInd/>
        <w:spacing w:line="300" w:lineRule="auto"/>
        <w:rPr>
          <w:rFonts w:ascii="宋体"/>
          <w:sz w:val="21"/>
          <w:szCs w:val="21"/>
        </w:rPr>
      </w:pPr>
      <w:r>
        <w:rPr>
          <w:rFonts w:hint="eastAsia" w:ascii="宋体" w:cs="宋体"/>
          <w:sz w:val="21"/>
          <w:szCs w:val="21"/>
        </w:rPr>
        <w:t>管理人有权依法对本产品说明书进行解释。</w:t>
      </w:r>
    </w:p>
    <w:p>
      <w:pPr>
        <w:pStyle w:val="6"/>
        <w:numPr>
          <w:ilvl w:val="0"/>
          <w:numId w:val="2"/>
        </w:numPr>
        <w:spacing w:before="0" w:after="0" w:line="300" w:lineRule="auto"/>
        <w:jc w:val="both"/>
        <w:rPr>
          <w:color w:val="000000"/>
          <w:sz w:val="28"/>
          <w:szCs w:val="28"/>
        </w:rPr>
      </w:pPr>
      <w:r>
        <w:rPr>
          <w:rFonts w:hint="eastAsia" w:cs="宋体"/>
          <w:color w:val="000000"/>
          <w:sz w:val="28"/>
          <w:szCs w:val="28"/>
        </w:rPr>
        <w:t>释义</w:t>
      </w:r>
    </w:p>
    <w:p>
      <w:pPr>
        <w:pStyle w:val="17"/>
        <w:adjustRightInd/>
        <w:spacing w:line="300" w:lineRule="auto"/>
        <w:ind w:firstLine="420" w:firstLineChars="200"/>
        <w:rPr>
          <w:rFonts w:ascii="宋体"/>
          <w:sz w:val="21"/>
          <w:szCs w:val="21"/>
        </w:rPr>
      </w:pPr>
      <w:r>
        <w:rPr>
          <w:rFonts w:hint="eastAsia" w:ascii="宋体" w:cs="宋体"/>
          <w:sz w:val="21"/>
          <w:szCs w:val="21"/>
        </w:rPr>
        <w:t>本说明书中，除非另有明确说明，否则下列词语或简称具有如下含义：</w:t>
      </w:r>
    </w:p>
    <w:p>
      <w:pPr>
        <w:pStyle w:val="17"/>
        <w:adjustRightInd/>
        <w:spacing w:line="300" w:lineRule="auto"/>
        <w:ind w:firstLine="420" w:firstLineChars="200"/>
        <w:rPr>
          <w:rFonts w:ascii="宋体"/>
          <w:sz w:val="21"/>
          <w:szCs w:val="21"/>
        </w:rPr>
      </w:pPr>
      <w:r>
        <w:rPr>
          <w:rFonts w:hint="eastAsia" w:ascii="宋体" w:cs="宋体"/>
          <w:sz w:val="21"/>
          <w:szCs w:val="21"/>
        </w:rPr>
        <w:t>产品/理财计划：指</w:t>
      </w:r>
      <w:r>
        <w:rPr>
          <w:rFonts w:hint="eastAsia" w:ascii="宋体" w:hAnsi="宋体" w:cs="宋体"/>
          <w:sz w:val="21"/>
          <w:szCs w:val="21"/>
        </w:rPr>
        <w:t>杭银理财幸福99丰裕固收22065期理财计划</w:t>
      </w:r>
      <w:r>
        <w:rPr>
          <w:rFonts w:hint="eastAsia" w:ascii="宋体" w:cs="宋体"/>
          <w:sz w:val="21"/>
          <w:szCs w:val="21"/>
        </w:rPr>
        <w:t>。</w:t>
      </w:r>
    </w:p>
    <w:p>
      <w:pPr>
        <w:pStyle w:val="17"/>
        <w:adjustRightInd/>
        <w:spacing w:line="300" w:lineRule="auto"/>
        <w:ind w:firstLine="420" w:firstLineChars="200"/>
        <w:rPr>
          <w:rFonts w:ascii="宋体"/>
          <w:sz w:val="21"/>
          <w:szCs w:val="21"/>
        </w:rPr>
      </w:pPr>
      <w:r>
        <w:rPr>
          <w:rFonts w:hint="eastAsia" w:ascii="宋体" w:cs="宋体"/>
          <w:sz w:val="21"/>
          <w:szCs w:val="21"/>
        </w:rPr>
        <w:t>产品管理人：指杭银理财有限责任公司。</w:t>
      </w:r>
    </w:p>
    <w:p>
      <w:pPr>
        <w:pStyle w:val="17"/>
        <w:adjustRightInd/>
        <w:spacing w:line="300" w:lineRule="auto"/>
        <w:ind w:firstLine="420" w:firstLineChars="200"/>
        <w:rPr>
          <w:rFonts w:ascii="宋体" w:cs="宋体"/>
          <w:sz w:val="21"/>
          <w:szCs w:val="21"/>
        </w:rPr>
      </w:pPr>
      <w:r>
        <w:rPr>
          <w:rFonts w:hint="eastAsia" w:ascii="宋体" w:cs="宋体"/>
          <w:sz w:val="21"/>
          <w:szCs w:val="21"/>
        </w:rPr>
        <w:t>销售机构：包含但不限于杭州银行股份有限公司等其他银行业金融机构或者国务院银行业监督管理机 构认可的其他机构。杭州银行股份有限公司简称杭州银行，官方网站为</w:t>
      </w:r>
      <w:r>
        <w:fldChar w:fldCharType="begin"/>
      </w:r>
      <w:r>
        <w:instrText xml:space="preserve"> HYPERLINK "http://www.hzbank.com.cn" </w:instrText>
      </w:r>
      <w:r>
        <w:fldChar w:fldCharType="separate"/>
      </w:r>
      <w:r>
        <w:rPr>
          <w:rStyle w:val="10"/>
          <w:rFonts w:ascii="宋体" w:cs="宋体"/>
          <w:sz w:val="21"/>
          <w:szCs w:val="21"/>
        </w:rPr>
        <w:t>www.hzbank.com.cn</w:t>
      </w:r>
      <w:r>
        <w:rPr>
          <w:rFonts w:ascii="宋体" w:cs="宋体"/>
          <w:sz w:val="21"/>
          <w:szCs w:val="21"/>
        </w:rPr>
        <w:fldChar w:fldCharType="end"/>
      </w:r>
      <w:r>
        <w:rPr>
          <w:rFonts w:hint="eastAsia" w:ascii="宋体" w:cs="宋体"/>
          <w:sz w:val="21"/>
          <w:szCs w:val="21"/>
        </w:rPr>
        <w:t>，客服热线为95398。</w:t>
      </w:r>
    </w:p>
    <w:p>
      <w:pPr>
        <w:pStyle w:val="17"/>
        <w:adjustRightInd/>
        <w:spacing w:line="300" w:lineRule="auto"/>
        <w:ind w:firstLine="420" w:firstLineChars="200"/>
        <w:rPr>
          <w:rFonts w:ascii="宋体"/>
          <w:sz w:val="21"/>
          <w:szCs w:val="21"/>
        </w:rPr>
      </w:pPr>
      <w:r>
        <w:rPr>
          <w:rFonts w:hint="eastAsia" w:ascii="宋体" w:cs="宋体"/>
          <w:sz w:val="21"/>
          <w:szCs w:val="21"/>
        </w:rPr>
        <w:t>产品托管人：指杭州银行股份有限公司。</w:t>
      </w:r>
    </w:p>
    <w:p>
      <w:pPr>
        <w:pStyle w:val="17"/>
        <w:adjustRightInd/>
        <w:spacing w:line="300" w:lineRule="auto"/>
        <w:ind w:firstLine="420" w:firstLineChars="200"/>
        <w:rPr>
          <w:rFonts w:ascii="宋体" w:cs="宋体"/>
          <w:sz w:val="21"/>
          <w:szCs w:val="21"/>
        </w:rPr>
      </w:pPr>
      <w:r>
        <w:rPr>
          <w:rFonts w:hint="eastAsia" w:ascii="宋体" w:cs="宋体"/>
          <w:sz w:val="21"/>
          <w:szCs w:val="21"/>
        </w:rPr>
        <w:t>产品认购期：指本产品接受投资者认购本理财产品的起止期限。</w:t>
      </w:r>
    </w:p>
    <w:p>
      <w:pPr>
        <w:pStyle w:val="17"/>
        <w:adjustRightInd/>
        <w:spacing w:line="300" w:lineRule="auto"/>
        <w:ind w:firstLine="420" w:firstLineChars="200"/>
        <w:rPr>
          <w:rFonts w:ascii="宋体" w:cs="宋体"/>
          <w:sz w:val="21"/>
          <w:szCs w:val="21"/>
        </w:rPr>
      </w:pPr>
      <w:r>
        <w:rPr>
          <w:rFonts w:hint="eastAsia" w:ascii="宋体" w:cs="宋体"/>
          <w:sz w:val="21"/>
          <w:szCs w:val="21"/>
        </w:rPr>
        <w:t>产品到期日：指理财产品终止运作的日期。</w:t>
      </w:r>
    </w:p>
    <w:p>
      <w:pPr>
        <w:pStyle w:val="17"/>
        <w:adjustRightInd/>
        <w:spacing w:line="300" w:lineRule="auto"/>
        <w:ind w:firstLine="420" w:firstLineChars="200"/>
        <w:rPr>
          <w:rFonts w:ascii="宋体" w:cs="宋体"/>
          <w:sz w:val="21"/>
          <w:szCs w:val="21"/>
        </w:rPr>
      </w:pPr>
      <w:r>
        <w:rPr>
          <w:rFonts w:hint="eastAsia" w:ascii="宋体" w:cs="宋体"/>
          <w:sz w:val="21"/>
          <w:szCs w:val="21"/>
        </w:rPr>
        <w:t>提前终止权：指在本理财产品存续期内，管理人或投资人单方面决定全部提前终止本理财产品的权利。</w:t>
      </w:r>
    </w:p>
    <w:p>
      <w:pPr>
        <w:pStyle w:val="17"/>
        <w:adjustRightInd/>
        <w:spacing w:line="300" w:lineRule="auto"/>
        <w:ind w:firstLine="420" w:firstLineChars="200"/>
        <w:rPr>
          <w:rFonts w:ascii="宋体" w:cs="宋体"/>
          <w:sz w:val="21"/>
          <w:szCs w:val="21"/>
        </w:rPr>
      </w:pPr>
      <w:r>
        <w:rPr>
          <w:rFonts w:hint="eastAsia" w:ascii="宋体" w:cs="宋体"/>
          <w:sz w:val="21"/>
          <w:szCs w:val="21"/>
        </w:rPr>
        <w:t>提前终止日：指管理人行使提前终止权的日期，即本理财产品被提前终止、开始停止计算收益的日期。</w:t>
      </w:r>
    </w:p>
    <w:p>
      <w:pPr>
        <w:pStyle w:val="17"/>
        <w:adjustRightInd/>
        <w:spacing w:line="300" w:lineRule="auto"/>
        <w:ind w:firstLine="420" w:firstLineChars="200"/>
        <w:rPr>
          <w:rFonts w:ascii="宋体" w:cs="宋体"/>
          <w:sz w:val="21"/>
          <w:szCs w:val="21"/>
        </w:rPr>
      </w:pPr>
      <w:r>
        <w:rPr>
          <w:rFonts w:hint="eastAsia" w:ascii="宋体" w:cs="宋体"/>
          <w:sz w:val="21"/>
          <w:szCs w:val="21"/>
        </w:rPr>
        <w:t>产品资金到账日：是指理财产品终止运作后，资金返还至投资人账户的日期。</w:t>
      </w:r>
    </w:p>
    <w:p>
      <w:pPr>
        <w:pStyle w:val="17"/>
        <w:adjustRightInd/>
        <w:spacing w:line="300" w:lineRule="auto"/>
        <w:ind w:firstLine="420" w:firstLineChars="200"/>
        <w:rPr>
          <w:rFonts w:ascii="宋体" w:cs="宋体"/>
          <w:sz w:val="21"/>
          <w:szCs w:val="21"/>
        </w:rPr>
      </w:pPr>
      <w:r>
        <w:rPr>
          <w:rFonts w:hint="eastAsia" w:ascii="宋体" w:cs="宋体"/>
          <w:sz w:val="21"/>
          <w:szCs w:val="21"/>
        </w:rPr>
        <w:t>工作日：指除国家法定节假日和休息日外的日期。</w:t>
      </w:r>
    </w:p>
    <w:p>
      <w:pPr>
        <w:pStyle w:val="17"/>
        <w:adjustRightInd/>
        <w:spacing w:line="300" w:lineRule="auto"/>
        <w:ind w:firstLine="420" w:firstLineChars="200"/>
        <w:rPr>
          <w:rFonts w:ascii="宋体" w:cs="宋体"/>
          <w:sz w:val="21"/>
          <w:szCs w:val="21"/>
        </w:rPr>
      </w:pPr>
      <w:r>
        <w:rPr>
          <w:rFonts w:hint="eastAsia" w:ascii="宋体" w:cs="宋体"/>
          <w:sz w:val="21"/>
          <w:szCs w:val="21"/>
        </w:rPr>
        <w:t>交易日：指上海证券交易所、深圳证券交易所的正常交易日。</w:t>
      </w:r>
    </w:p>
    <w:p>
      <w:pPr>
        <w:pStyle w:val="17"/>
        <w:adjustRightInd/>
        <w:spacing w:line="300" w:lineRule="auto"/>
        <w:ind w:firstLine="420" w:firstLineChars="200"/>
        <w:rPr>
          <w:rFonts w:ascii="宋体" w:cs="宋体"/>
          <w:sz w:val="21"/>
          <w:szCs w:val="21"/>
        </w:rPr>
      </w:pPr>
      <w:r>
        <w:rPr>
          <w:rFonts w:hint="eastAsia" w:ascii="宋体" w:cs="宋体"/>
          <w:sz w:val="21"/>
          <w:szCs w:val="21"/>
        </w:rPr>
        <w:t>业绩比较基准：指理财计划管理人根据产品运作及市场情况，对本理财计划运行情况所设定的业绩参照标准，用于业绩运作结果比较或作为提取业绩报酬（如有）的依据。业绩比较基准不构成对委托财产收益的任何暗示或保证，并不代表实际收益率。</w:t>
      </w:r>
    </w:p>
    <w:p>
      <w:pPr>
        <w:pStyle w:val="6"/>
        <w:numPr>
          <w:ilvl w:val="0"/>
          <w:numId w:val="2"/>
        </w:numPr>
        <w:spacing w:before="0" w:after="0" w:line="520" w:lineRule="exact"/>
        <w:jc w:val="both"/>
        <w:rPr>
          <w:color w:val="000000"/>
          <w:sz w:val="28"/>
          <w:szCs w:val="28"/>
        </w:rPr>
      </w:pPr>
      <w:r>
        <w:rPr>
          <w:rFonts w:hint="eastAsia" w:cs="宋体"/>
          <w:color w:val="000000"/>
          <w:sz w:val="28"/>
          <w:szCs w:val="28"/>
        </w:rPr>
        <w:t>产品风险等级：</w:t>
      </w:r>
      <w:r>
        <w:rPr>
          <w:color w:val="000000"/>
          <w:sz w:val="28"/>
          <w:szCs w:val="28"/>
        </w:rPr>
        <w:t>R</w:t>
      </w:r>
      <w:r>
        <w:rPr>
          <w:rFonts w:hint="eastAsia"/>
          <w:color w:val="000000"/>
          <w:sz w:val="28"/>
          <w:szCs w:val="28"/>
        </w:rPr>
        <w:t>2</w:t>
      </w:r>
    </w:p>
    <w:p>
      <w:pPr>
        <w:pStyle w:val="17"/>
        <w:spacing w:line="360" w:lineRule="auto"/>
        <w:rPr>
          <w:rFonts w:ascii="宋体" w:eastAsia="Times New Roman"/>
          <w:sz w:val="22"/>
          <w:szCs w:val="22"/>
        </w:rPr>
      </w:pPr>
      <w:r>
        <w:rPr>
          <w:b/>
          <w:bCs/>
          <w:sz w:val="18"/>
          <w:szCs w:val="18"/>
        </w:rPr>
        <w:pict>
          <v:group id="Group 13" o:spid="_x0000_s1026" o:spt="203" style="height:210.6pt;width:459pt;" coordsize="6929,3159">
            <o:lock v:ext="edit" aspectratio="f"/>
            <v:rect id="Picture 14" o:spid="_x0000_s1027" o:spt="1" style="position:absolute;left:0;top:0;height:3159;width:6929;" filled="f" stroked="f" coordsize="21600,21600">
              <v:path/>
              <v:fill on="f" focussize="0,0"/>
              <v:stroke on="f"/>
              <v:imagedata o:title=""/>
              <o:lock v:ext="edit" text="t" aspectratio="t"/>
            </v:rect>
            <v:line id="Line 15" o:spid="_x0000_s1028" o:spt="20" style="position:absolute;left:544;top:2691;height:1;width:5026;" stroked="t" coordsize="21600,21600">
              <v:path arrowok="t"/>
              <v:fill focussize="0,0"/>
              <v:stroke endarrow="block"/>
              <v:imagedata o:title=""/>
              <o:lock v:ext="edit" aspectratio="f"/>
            </v:line>
            <v:line id="Line 16" o:spid="_x0000_s1029" o:spt="20" style="position:absolute;left:815;top:234;flip:y;height:2574;width:0;" stroked="t" coordsize="21600,21600">
              <v:path arrowok="t"/>
              <v:fill focussize="0,0"/>
              <v:stroke endarrow="block"/>
              <v:imagedata o:title=""/>
              <o:lock v:ext="edit" aspectratio="f"/>
            </v:line>
            <v:rect id="Rectangle 17" o:spid="_x0000_s1030" o:spt="1" style="position:absolute;left:951;top:2223;height:351;width:544;" fillcolor="#FFFFFF" filled="t" stroked="t" coordsize="21600,21600">
              <v:path/>
              <v:fill on="t" focussize="0,0"/>
              <v:stroke/>
              <v:imagedata o:title=""/>
              <o:lock v:ext="edit" aspectratio="f"/>
              <v:textbox>
                <w:txbxContent>
                  <w:p>
                    <w:pPr>
                      <w:ind w:firstLine="103" w:firstLineChars="49"/>
                      <w:rPr>
                        <w:b/>
                        <w:bCs/>
                      </w:rPr>
                    </w:pPr>
                    <w:r>
                      <w:rPr>
                        <w:b/>
                        <w:bCs/>
                      </w:rPr>
                      <w:t>R1</w:t>
                    </w:r>
                  </w:p>
                </w:txbxContent>
              </v:textbox>
            </v:rect>
            <v:rect id="Rectangle 18" o:spid="_x0000_s1031" o:spt="1" style="position:absolute;left:1495;top:1872;height:351;width:543;" fillcolor="#FFFF00" filled="t" stroked="t" coordsize="21600,21600">
              <v:path/>
              <v:fill on="t" focussize="0,0"/>
              <v:stroke/>
              <v:imagedata o:title=""/>
              <o:lock v:ext="edit" aspectratio="f"/>
              <v:textbox>
                <w:txbxContent>
                  <w:p>
                    <w:pPr>
                      <w:ind w:firstLine="103" w:firstLineChars="49"/>
                      <w:rPr>
                        <w:b/>
                        <w:bCs/>
                      </w:rPr>
                    </w:pPr>
                    <w:r>
                      <w:rPr>
                        <w:b/>
                        <w:bCs/>
                      </w:rPr>
                      <w:t>R2</w:t>
                    </w:r>
                  </w:p>
                </w:txbxContent>
              </v:textbox>
            </v:rect>
            <v:rect id="Rectangle 19" o:spid="_x0000_s1032" o:spt="1" style="position:absolute;left:2038;top:1521;height:351;width:543;" fillcolor="#FFFFFF" filled="t" stroked="t" coordsize="21600,21600">
              <v:path/>
              <v:fill on="t" focussize="0,0"/>
              <v:stroke/>
              <v:imagedata o:title=""/>
              <o:lock v:ext="edit" aspectratio="f"/>
              <v:textbox>
                <w:txbxContent>
                  <w:p>
                    <w:pPr>
                      <w:ind w:firstLine="103" w:firstLineChars="49"/>
                      <w:rPr>
                        <w:b/>
                        <w:bCs/>
                      </w:rPr>
                    </w:pPr>
                    <w:r>
                      <w:rPr>
                        <w:b/>
                        <w:bCs/>
                      </w:rPr>
                      <w:t>R3</w:t>
                    </w:r>
                  </w:p>
                </w:txbxContent>
              </v:textbox>
            </v:rect>
            <v:rect id="Rectangle 20" o:spid="_x0000_s1033" o:spt="1" style="position:absolute;left:2581;top:1170;height:351;width:544;" filled="f" stroked="t" coordsize="21600,21600">
              <v:path/>
              <v:fill on="f" focussize="0,0"/>
              <v:stroke/>
              <v:imagedata o:title=""/>
              <o:lock v:ext="edit" aspectratio="f"/>
              <v:textbox>
                <w:txbxContent>
                  <w:p>
                    <w:pPr>
                      <w:ind w:firstLine="103" w:firstLineChars="49"/>
                      <w:rPr>
                        <w:b/>
                        <w:bCs/>
                      </w:rPr>
                    </w:pPr>
                    <w:r>
                      <w:rPr>
                        <w:b/>
                        <w:bCs/>
                      </w:rPr>
                      <w:t>R4</w:t>
                    </w:r>
                  </w:p>
                </w:txbxContent>
              </v:textbox>
            </v:rect>
            <v:rect id="Rectangle 21" o:spid="_x0000_s1034" o:spt="1" style="position:absolute;left:3125;top:819;height:351;width:543;" filled="f" stroked="t" coordsize="21600,21600">
              <v:path/>
              <v:fill on="f" focussize="0,0"/>
              <v:stroke/>
              <v:imagedata o:title=""/>
              <o:lock v:ext="edit" aspectratio="f"/>
              <v:textbox>
                <w:txbxContent>
                  <w:p>
                    <w:pPr>
                      <w:ind w:firstLine="103" w:firstLineChars="49"/>
                      <w:rPr>
                        <w:b/>
                        <w:bCs/>
                      </w:rPr>
                    </w:pPr>
                    <w:r>
                      <w:rPr>
                        <w:b/>
                        <w:bCs/>
                      </w:rPr>
                      <w:t>R5</w:t>
                    </w:r>
                  </w:p>
                </w:txbxContent>
              </v:textbox>
            </v:rect>
            <v:rect id="Rectangle 22" o:spid="_x0000_s1035" o:spt="1" style="position:absolute;left:1630;top:2808;height:351;width:3940;" fillcolor="#FFFFFF" filled="t" stroked="f" coordsize="21600,21600">
              <v:path/>
              <v:fill on="t" focussize="0,0"/>
              <v:stroke on="f"/>
              <v:imagedata o:title=""/>
              <o:lock v:ext="edit" aspectratio="f"/>
              <v:textbox>
                <w:txbxContent>
                  <w:p>
                    <w:pPr>
                      <w:jc w:val="center"/>
                      <w:rPr>
                        <w:sz w:val="18"/>
                        <w:szCs w:val="18"/>
                      </w:rPr>
                    </w:pPr>
                    <w:r>
                      <w:rPr>
                        <w:rFonts w:hint="eastAsia" w:cs="宋体"/>
                        <w:sz w:val="18"/>
                        <w:szCs w:val="18"/>
                      </w:rPr>
                      <w:t>风险程度</w:t>
                    </w:r>
                  </w:p>
                </w:txbxContent>
              </v:textbox>
            </v:rect>
            <w10:wrap type="none"/>
            <w10:anchorlock/>
          </v:group>
        </w:pict>
      </w:r>
    </w:p>
    <w:p>
      <w:pPr>
        <w:pStyle w:val="17"/>
        <w:adjustRightInd/>
        <w:spacing w:line="300" w:lineRule="auto"/>
        <w:ind w:firstLine="420" w:firstLineChars="200"/>
        <w:rPr>
          <w:rFonts w:ascii="宋体"/>
          <w:sz w:val="21"/>
          <w:szCs w:val="21"/>
        </w:rPr>
      </w:pPr>
      <w:r>
        <w:rPr>
          <w:rFonts w:hint="eastAsia" w:ascii="宋体" w:cs="宋体"/>
          <w:sz w:val="21"/>
          <w:szCs w:val="21"/>
        </w:rPr>
        <w:t>产品风险评级由管理人根据产品投资组合、投资运作情况、同类产品过往业绩和风险水平等因素合理确定。根据管理人内部风险评级标准，</w:t>
      </w:r>
      <w:r>
        <w:rPr>
          <w:rFonts w:hint="eastAsia" w:ascii="宋体" w:cs="宋体"/>
          <w:b/>
          <w:sz w:val="21"/>
          <w:szCs w:val="21"/>
        </w:rPr>
        <w:t>本产品的风险等级为〖R2〗，〖中低〗风险。</w:t>
      </w:r>
      <w:r>
        <w:rPr>
          <w:rFonts w:hint="eastAsia" w:ascii="宋体" w:cs="宋体"/>
          <w:sz w:val="21"/>
          <w:szCs w:val="21"/>
        </w:rPr>
        <w:t>该评级仅是管理人内部测评结果，仅供投资者参考，不具有任何法律约束力。</w:t>
      </w:r>
    </w:p>
    <w:p>
      <w:pPr>
        <w:pStyle w:val="6"/>
        <w:numPr>
          <w:ilvl w:val="0"/>
          <w:numId w:val="2"/>
        </w:numPr>
        <w:spacing w:before="0" w:after="0" w:line="300" w:lineRule="auto"/>
        <w:jc w:val="both"/>
        <w:rPr>
          <w:rFonts w:cs="宋体"/>
          <w:color w:val="000000"/>
          <w:sz w:val="28"/>
          <w:szCs w:val="28"/>
        </w:rPr>
      </w:pPr>
      <w:r>
        <w:rPr>
          <w:rFonts w:hint="eastAsia" w:cs="宋体"/>
          <w:color w:val="000000"/>
          <w:sz w:val="28"/>
          <w:szCs w:val="28"/>
        </w:rPr>
        <w:t>产品概述</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845"/>
        <w:gridCol w:w="75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产品名称</w:t>
            </w:r>
          </w:p>
        </w:tc>
        <w:tc>
          <w:tcPr>
            <w:tcW w:w="7542" w:type="dxa"/>
            <w:vAlign w:val="center"/>
          </w:tcPr>
          <w:p>
            <w:pPr>
              <w:widowControl/>
              <w:spacing w:line="300" w:lineRule="auto"/>
              <w:contextualSpacing/>
              <w:rPr>
                <w:rFonts w:ascii="宋体" w:hAnsi="宋体"/>
                <w:color w:val="000000"/>
                <w:szCs w:val="21"/>
              </w:rPr>
            </w:pPr>
            <w:r>
              <w:rPr>
                <w:rFonts w:hint="eastAsia" w:ascii="宋体" w:hAnsi="宋体" w:cs="宋体"/>
                <w:szCs w:val="21"/>
              </w:rPr>
              <w:t>杭银理财幸福99</w:t>
            </w:r>
            <w:r>
              <w:rPr>
                <w:rFonts w:hint="eastAsia" w:ascii="宋体" w:hAnsi="宋体"/>
              </w:rPr>
              <w:t>丰裕固收22065期</w:t>
            </w:r>
            <w:r>
              <w:rPr>
                <w:rFonts w:hint="eastAsia" w:ascii="宋体" w:hAnsi="宋体" w:cs="宋体"/>
                <w:szCs w:val="21"/>
              </w:rPr>
              <w:t>理财计划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szCs w:val="21"/>
              </w:rPr>
            </w:pPr>
            <w:r>
              <w:rPr>
                <w:rFonts w:hint="eastAsia" w:ascii="宋体" w:hAnsi="宋体"/>
                <w:szCs w:val="21"/>
              </w:rPr>
              <w:t>产品编号</w:t>
            </w:r>
          </w:p>
        </w:tc>
        <w:tc>
          <w:tcPr>
            <w:tcW w:w="7542" w:type="dxa"/>
            <w:vAlign w:val="center"/>
          </w:tcPr>
          <w:p>
            <w:pPr>
              <w:widowControl/>
              <w:spacing w:line="300" w:lineRule="auto"/>
              <w:contextualSpacing/>
              <w:rPr>
                <w:rFonts w:hint="eastAsia" w:ascii="宋体" w:hAnsi="宋体"/>
                <w:color w:val="000000"/>
                <w:szCs w:val="21"/>
              </w:rPr>
            </w:pPr>
            <w:r>
              <w:rPr>
                <w:rFonts w:hint="eastAsia" w:ascii="宋体" w:hAnsi="宋体"/>
                <w:color w:val="000000"/>
                <w:szCs w:val="21"/>
              </w:rPr>
              <w:t>FYG22065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产品登记编码</w:t>
            </w:r>
          </w:p>
        </w:tc>
        <w:tc>
          <w:tcPr>
            <w:tcW w:w="7542" w:type="dxa"/>
            <w:vAlign w:val="center"/>
          </w:tcPr>
          <w:p>
            <w:pPr>
              <w:autoSpaceDE w:val="0"/>
              <w:autoSpaceDN w:val="0"/>
              <w:adjustRightInd w:val="0"/>
              <w:spacing w:line="420" w:lineRule="exact"/>
              <w:ind w:right="420"/>
              <w:jc w:val="left"/>
              <w:rPr>
                <w:rFonts w:ascii="宋体" w:hAnsi="宋体" w:cs="宋体"/>
                <w:b/>
                <w:kern w:val="0"/>
                <w:szCs w:val="21"/>
              </w:rPr>
            </w:pPr>
            <w:r>
              <w:rPr>
                <w:rFonts w:hint="eastAsia" w:ascii="宋体" w:hAnsi="宋体"/>
                <w:color w:val="000000"/>
                <w:szCs w:val="21"/>
              </w:rPr>
              <w:t>该产品在全国银行业理财信息登记系统的登记编码是〖</w:t>
            </w:r>
            <w:r>
              <w:t>Z7002222000101</w:t>
            </w:r>
            <w:r>
              <w:rPr>
                <w:rFonts w:hint="eastAsia" w:ascii="宋体" w:hAnsi="宋体"/>
                <w:color w:val="000000"/>
                <w:szCs w:val="21"/>
              </w:rPr>
              <w:t>〗，投资者可依据该编码在</w:t>
            </w:r>
            <w:r>
              <w:rPr>
                <w:rFonts w:ascii="宋体" w:hAnsi="宋体"/>
                <w:color w:val="000000"/>
                <w:szCs w:val="21"/>
              </w:rPr>
              <w:t>“</w:t>
            </w:r>
            <w:r>
              <w:rPr>
                <w:rFonts w:hint="eastAsia" w:ascii="宋体" w:hAnsi="宋体"/>
                <w:color w:val="000000"/>
                <w:szCs w:val="21"/>
              </w:rPr>
              <w:t>中国理财网（</w:t>
            </w:r>
            <w:r>
              <w:rPr>
                <w:rFonts w:ascii="宋体" w:hAnsi="宋体"/>
                <w:color w:val="000000"/>
                <w:szCs w:val="21"/>
              </w:rPr>
              <w:t>www.chinawealth.com.cn</w:t>
            </w:r>
            <w:r>
              <w:rPr>
                <w:rFonts w:hint="eastAsia" w:ascii="宋体" w:hAnsi="宋体"/>
                <w:color w:val="000000"/>
                <w:szCs w:val="21"/>
              </w:rPr>
              <w:t>）</w:t>
            </w:r>
            <w:r>
              <w:rPr>
                <w:rFonts w:ascii="宋体" w:hAnsi="宋体"/>
                <w:color w:val="000000"/>
                <w:szCs w:val="21"/>
              </w:rPr>
              <w:t>”</w:t>
            </w:r>
            <w:r>
              <w:rPr>
                <w:rFonts w:hint="eastAsia" w:ascii="宋体" w:hAnsi="宋体"/>
                <w:color w:val="000000"/>
                <w:szCs w:val="21"/>
              </w:rPr>
              <w:t>查询该产品信息。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发行对象</w:t>
            </w:r>
          </w:p>
        </w:tc>
        <w:tc>
          <w:tcPr>
            <w:tcW w:w="7542" w:type="dxa"/>
            <w:vAlign w:val="center"/>
          </w:tcPr>
          <w:p>
            <w:pPr>
              <w:widowControl/>
              <w:spacing w:line="300" w:lineRule="auto"/>
              <w:contextualSpacing/>
              <w:rPr>
                <w:rFonts w:hint="eastAsia" w:ascii="宋体" w:hAnsi="宋体"/>
                <w:b/>
                <w:color w:val="000000"/>
                <w:szCs w:val="21"/>
              </w:rPr>
            </w:pPr>
            <w:r>
              <w:rPr>
                <w:rFonts w:hint="eastAsia" w:ascii="宋体" w:hAnsi="宋体"/>
                <w:color w:val="000000"/>
                <w:szCs w:val="21"/>
              </w:rPr>
              <w:t>本理财产品适合</w:t>
            </w:r>
            <w:r>
              <w:rPr>
                <w:rFonts w:hint="eastAsia" w:ascii="宋体" w:cs="宋体"/>
                <w:b/>
                <w:color w:val="000000"/>
                <w:szCs w:val="21"/>
              </w:rPr>
              <w:t>机构投资者以及</w:t>
            </w:r>
            <w:r>
              <w:rPr>
                <w:rFonts w:hint="eastAsia" w:ascii="宋体" w:hAnsi="宋体" w:cs="宋体"/>
                <w:szCs w:val="21"/>
              </w:rPr>
              <w:t>〖稳健型、平衡型、成长型、进取型〗</w:t>
            </w:r>
            <w:r>
              <w:rPr>
                <w:rFonts w:hint="eastAsia" w:ascii="宋体" w:hAnsi="宋体"/>
                <w:b/>
                <w:color w:val="000000"/>
                <w:szCs w:val="21"/>
              </w:rPr>
              <w:t>的个人投资者。</w:t>
            </w:r>
          </w:p>
          <w:p>
            <w:pPr>
              <w:widowControl/>
              <w:spacing w:line="300" w:lineRule="auto"/>
              <w:contextualSpacing/>
              <w:rPr>
                <w:rFonts w:hint="eastAsia" w:ascii="宋体" w:hAnsi="宋体"/>
                <w:color w:val="000000"/>
                <w:szCs w:val="21"/>
              </w:rPr>
            </w:pPr>
            <w:r>
              <w:rPr>
                <w:rFonts w:hint="eastAsia" w:ascii="宋体" w:hAnsi="宋体"/>
                <w:color w:val="000000"/>
                <w:szCs w:val="21"/>
              </w:rPr>
              <w:t>B份额（销售代码【FYG22065B】</w:t>
            </w:r>
            <w:r>
              <w:rPr>
                <w:rFonts w:ascii="宋体" w:hAnsi="宋体"/>
                <w:color w:val="000000"/>
                <w:szCs w:val="21"/>
              </w:rPr>
              <w:t>）</w:t>
            </w:r>
            <w:r>
              <w:rPr>
                <w:rFonts w:hint="eastAsia" w:ascii="宋体" w:hAnsi="宋体"/>
                <w:color w:val="000000"/>
                <w:szCs w:val="21"/>
              </w:rPr>
              <w:t>：个人投资者和机构客户新客及特邀专属。</w:t>
            </w:r>
          </w:p>
          <w:p>
            <w:pPr>
              <w:widowControl/>
              <w:spacing w:line="300" w:lineRule="auto"/>
              <w:contextualSpacing/>
              <w:rPr>
                <w:rFonts w:hint="eastAsia" w:ascii="宋体" w:hAnsi="宋体" w:cs="宋体"/>
                <w:color w:val="000000"/>
                <w:szCs w:val="21"/>
              </w:rPr>
            </w:pPr>
            <w:r>
              <w:rPr>
                <w:rFonts w:hint="eastAsia" w:ascii="宋体" w:hAnsi="宋体"/>
                <w:color w:val="000000"/>
                <w:szCs w:val="21"/>
              </w:rPr>
              <w:t>C份额（销售代码【FYG22065C】）：部分代销客户</w:t>
            </w:r>
            <w:r>
              <w:rPr>
                <w:rFonts w:hint="eastAsia" w:ascii="宋体" w:hAnsi="宋体" w:cs="宋体"/>
                <w:color w:val="000000"/>
                <w:szCs w:val="21"/>
              </w:rPr>
              <w:t>。</w:t>
            </w:r>
          </w:p>
          <w:p>
            <w:pPr>
              <w:widowControl/>
              <w:spacing w:line="300" w:lineRule="auto"/>
              <w:contextualSpacing/>
              <w:rPr>
                <w:rFonts w:hint="eastAsia" w:ascii="宋体" w:hAnsi="宋体" w:cs="宋体"/>
                <w:color w:val="000000"/>
                <w:szCs w:val="21"/>
              </w:rPr>
            </w:pPr>
            <w:r>
              <w:rPr>
                <w:rFonts w:hint="eastAsia" w:ascii="宋体" w:hAnsi="宋体"/>
                <w:color w:val="000000"/>
                <w:szCs w:val="21"/>
              </w:rPr>
              <w:t>D份额（销售代码【FYG22065D】）：杭银理财特邀客户及部分代销客户</w:t>
            </w:r>
            <w:r>
              <w:rPr>
                <w:rFonts w:hint="eastAsia" w:ascii="宋体" w:hAnsi="宋体" w:cs="宋体"/>
                <w:color w:val="000000"/>
                <w:szCs w:val="21"/>
              </w:rPr>
              <w:t>。</w:t>
            </w:r>
          </w:p>
          <w:p>
            <w:pPr>
              <w:widowControl/>
              <w:spacing w:line="300" w:lineRule="auto"/>
              <w:contextualSpacing/>
              <w:rPr>
                <w:rFonts w:hint="eastAsia" w:ascii="宋体" w:hAnsi="宋体" w:cs="宋体"/>
                <w:color w:val="000000"/>
                <w:szCs w:val="21"/>
              </w:rPr>
            </w:pPr>
            <w:r>
              <w:rPr>
                <w:rFonts w:hint="eastAsia" w:ascii="宋体" w:hAnsi="宋体"/>
                <w:color w:val="000000"/>
                <w:szCs w:val="21"/>
              </w:rPr>
              <w:t>E份额（销售代码【FYG22065E】）：部分代销客户</w:t>
            </w:r>
            <w:r>
              <w:rPr>
                <w:rFonts w:hint="eastAsia" w:ascii="宋体" w:hAnsi="宋体"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发行方式</w:t>
            </w:r>
          </w:p>
        </w:tc>
        <w:tc>
          <w:tcPr>
            <w:tcW w:w="7542" w:type="dxa"/>
            <w:vAlign w:val="center"/>
          </w:tcPr>
          <w:p>
            <w:pPr>
              <w:widowControl/>
              <w:spacing w:line="300" w:lineRule="auto"/>
              <w:contextualSpacing/>
              <w:rPr>
                <w:rFonts w:ascii="宋体" w:hAnsi="宋体"/>
                <w:color w:val="000000"/>
                <w:szCs w:val="21"/>
              </w:rPr>
            </w:pPr>
            <w:r>
              <w:rPr>
                <w:rFonts w:hint="eastAsia" w:ascii="宋体" w:hAnsi="宋体" w:cs="宋体"/>
                <w:szCs w:val="21"/>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产品类型</w:t>
            </w:r>
          </w:p>
        </w:tc>
        <w:tc>
          <w:tcPr>
            <w:tcW w:w="7542" w:type="dxa"/>
            <w:vAlign w:val="center"/>
          </w:tcPr>
          <w:p>
            <w:pPr>
              <w:widowControl/>
              <w:spacing w:line="300" w:lineRule="auto"/>
              <w:contextualSpacing/>
              <w:rPr>
                <w:rFonts w:ascii="宋体" w:hAnsi="宋体"/>
                <w:color w:val="000000"/>
                <w:szCs w:val="21"/>
              </w:rPr>
            </w:pPr>
            <w:r>
              <w:rPr>
                <w:rFonts w:hint="eastAsia" w:ascii="宋体" w:hAnsi="宋体" w:cs="宋体"/>
                <w:szCs w:val="21"/>
              </w:rPr>
              <w:t>封闭式</w:t>
            </w:r>
            <w:r>
              <w:rPr>
                <w:rFonts w:hint="eastAsia" w:ascii="宋体" w:hAnsi="宋体"/>
                <w:color w:val="000000"/>
                <w:szCs w:val="21"/>
              </w:rPr>
              <w:t>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投资性质</w:t>
            </w:r>
          </w:p>
        </w:tc>
        <w:tc>
          <w:tcPr>
            <w:tcW w:w="7542" w:type="dxa"/>
            <w:vAlign w:val="center"/>
          </w:tcPr>
          <w:p>
            <w:pPr>
              <w:widowControl/>
              <w:spacing w:line="300" w:lineRule="auto"/>
              <w:contextualSpacing/>
              <w:rPr>
                <w:rFonts w:ascii="宋体" w:hAnsi="宋体"/>
                <w:color w:val="000000"/>
                <w:szCs w:val="21"/>
              </w:rPr>
            </w:pPr>
            <w:r>
              <w:rPr>
                <w:rFonts w:hint="eastAsia" w:ascii="宋体" w:hAnsi="宋体" w:cs="宋体"/>
                <w:szCs w:val="21"/>
              </w:rPr>
              <w:t>〖固定收益〗</w:t>
            </w:r>
            <w:r>
              <w:rPr>
                <w:rFonts w:hint="eastAsia" w:ascii="宋体" w:hAnsi="宋体"/>
                <w:color w:val="000000"/>
                <w:szCs w:val="21"/>
              </w:rPr>
              <w:t>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销售范围</w:t>
            </w:r>
          </w:p>
        </w:tc>
        <w:tc>
          <w:tcPr>
            <w:tcW w:w="7542" w:type="dxa"/>
            <w:vAlign w:val="center"/>
          </w:tcPr>
          <w:p>
            <w:pPr>
              <w:widowControl/>
              <w:spacing w:line="300" w:lineRule="auto"/>
              <w:contextualSpacing/>
              <w:rPr>
                <w:rFonts w:ascii="宋体" w:hAnsi="宋体"/>
                <w:color w:val="000000"/>
                <w:szCs w:val="21"/>
              </w:rPr>
            </w:pPr>
            <w:r>
              <w:rPr>
                <w:rFonts w:hint="eastAsia" w:ascii="宋体" w:hAnsi="宋体"/>
                <w:color w:val="000000"/>
                <w:szCs w:val="21"/>
              </w:rPr>
              <w:t>全国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销售渠道</w:t>
            </w:r>
          </w:p>
        </w:tc>
        <w:tc>
          <w:tcPr>
            <w:tcW w:w="7542" w:type="dxa"/>
            <w:vAlign w:val="center"/>
          </w:tcPr>
          <w:p>
            <w:pPr>
              <w:widowControl/>
              <w:spacing w:line="300" w:lineRule="auto"/>
              <w:contextualSpacing/>
              <w:jc w:val="left"/>
              <w:rPr>
                <w:rFonts w:ascii="宋体" w:hAnsi="宋体"/>
                <w:color w:val="000000"/>
                <w:szCs w:val="21"/>
              </w:rPr>
            </w:pPr>
            <w:r>
              <w:rPr>
                <w:rFonts w:hint="eastAsia" w:ascii="宋体" w:hAnsi="宋体"/>
                <w:color w:val="000000"/>
                <w:szCs w:val="21"/>
              </w:rPr>
              <w:t>可通过销售机构的网上银行、手机银行等渠道购买。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交易币种</w:t>
            </w:r>
          </w:p>
        </w:tc>
        <w:tc>
          <w:tcPr>
            <w:tcW w:w="7542" w:type="dxa"/>
            <w:vAlign w:val="center"/>
          </w:tcPr>
          <w:p>
            <w:pPr>
              <w:widowControl/>
              <w:spacing w:line="300" w:lineRule="auto"/>
              <w:contextualSpacing/>
              <w:rPr>
                <w:rFonts w:ascii="宋体" w:hAnsi="宋体"/>
                <w:color w:val="000000"/>
                <w:szCs w:val="21"/>
              </w:rPr>
            </w:pPr>
            <w:r>
              <w:rPr>
                <w:rFonts w:hint="eastAsia" w:ascii="宋体" w:hAnsi="宋体"/>
                <w:color w:val="000000"/>
                <w:szCs w:val="21"/>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发行规模上限</w:t>
            </w:r>
          </w:p>
        </w:tc>
        <w:tc>
          <w:tcPr>
            <w:tcW w:w="7542" w:type="dxa"/>
            <w:vAlign w:val="center"/>
          </w:tcPr>
          <w:p>
            <w:pPr>
              <w:widowControl/>
              <w:spacing w:line="300" w:lineRule="auto"/>
              <w:contextualSpacing/>
              <w:rPr>
                <w:rFonts w:hint="eastAsia" w:ascii="宋体" w:hAnsi="宋体"/>
                <w:color w:val="000000"/>
                <w:szCs w:val="21"/>
              </w:rPr>
            </w:pPr>
            <w:r>
              <w:rPr>
                <w:rFonts w:hint="eastAsia" w:ascii="宋体" w:hAnsi="宋体"/>
                <w:color w:val="000000"/>
                <w:szCs w:val="21"/>
              </w:rPr>
              <w:t>B份额：发行规模上限〖10〗亿元。</w:t>
            </w:r>
          </w:p>
          <w:p>
            <w:pPr>
              <w:widowControl/>
              <w:spacing w:line="300" w:lineRule="auto"/>
              <w:contextualSpacing/>
              <w:rPr>
                <w:rFonts w:hint="eastAsia" w:ascii="宋体" w:hAnsi="宋体"/>
                <w:color w:val="000000"/>
                <w:szCs w:val="21"/>
              </w:rPr>
            </w:pPr>
            <w:r>
              <w:rPr>
                <w:rFonts w:hint="eastAsia" w:ascii="宋体" w:hAnsi="宋体"/>
                <w:color w:val="000000"/>
                <w:szCs w:val="21"/>
              </w:rPr>
              <w:t>C份额：发行规模上限〖25〗亿元。</w:t>
            </w:r>
          </w:p>
          <w:p>
            <w:pPr>
              <w:widowControl/>
              <w:spacing w:line="300" w:lineRule="auto"/>
              <w:contextualSpacing/>
              <w:rPr>
                <w:rFonts w:hint="eastAsia" w:ascii="宋体" w:hAnsi="宋体"/>
                <w:color w:val="000000"/>
                <w:szCs w:val="21"/>
              </w:rPr>
            </w:pPr>
            <w:r>
              <w:rPr>
                <w:rFonts w:hint="eastAsia" w:ascii="宋体" w:hAnsi="宋体"/>
                <w:color w:val="000000"/>
                <w:szCs w:val="21"/>
              </w:rPr>
              <w:t>D份额：发行规模上限〖5〗亿元。</w:t>
            </w:r>
          </w:p>
          <w:p>
            <w:pPr>
              <w:widowControl/>
              <w:spacing w:line="300" w:lineRule="auto"/>
              <w:contextualSpacing/>
              <w:rPr>
                <w:rFonts w:hint="eastAsia" w:ascii="宋体" w:hAnsi="宋体"/>
                <w:color w:val="000000"/>
                <w:szCs w:val="21"/>
              </w:rPr>
            </w:pPr>
            <w:r>
              <w:rPr>
                <w:rFonts w:hint="eastAsia" w:ascii="宋体" w:hAnsi="宋体"/>
                <w:color w:val="000000"/>
                <w:szCs w:val="21"/>
              </w:rPr>
              <w:t>E份额：发行规模上限〖1〗亿元。</w:t>
            </w:r>
          </w:p>
          <w:p>
            <w:pPr>
              <w:widowControl/>
              <w:spacing w:line="300" w:lineRule="auto"/>
              <w:contextualSpacing/>
              <w:rPr>
                <w:rFonts w:ascii="宋体" w:hAnsi="宋体"/>
                <w:color w:val="000000"/>
                <w:szCs w:val="21"/>
              </w:rPr>
            </w:pPr>
            <w:r>
              <w:rPr>
                <w:rFonts w:hint="eastAsia" w:ascii="宋体" w:hAnsi="宋体"/>
                <w:color w:val="000000"/>
                <w:szCs w:val="21"/>
              </w:rPr>
              <w:t>产品B、C、D、E份额总发行规模上限合计〖41〗亿元。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产品认购期</w:t>
            </w:r>
          </w:p>
        </w:tc>
        <w:tc>
          <w:tcPr>
            <w:tcW w:w="7542" w:type="dxa"/>
            <w:vAlign w:val="center"/>
          </w:tcPr>
          <w:p>
            <w:pPr>
              <w:widowControl/>
              <w:spacing w:line="300" w:lineRule="auto"/>
              <w:contextualSpacing/>
              <w:rPr>
                <w:rFonts w:ascii="宋体" w:hAnsi="宋体"/>
                <w:color w:val="000000"/>
                <w:szCs w:val="21"/>
              </w:rPr>
            </w:pPr>
            <w:r>
              <w:rPr>
                <w:rFonts w:hint="eastAsia" w:ascii="宋体" w:hAnsi="宋体"/>
                <w:color w:val="000000"/>
                <w:szCs w:val="21"/>
              </w:rPr>
              <w:t>〖2022〗年〖11〗月〖1〗日-〖2022〗年〖11〗月〖7〗日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产品认购时间</w:t>
            </w:r>
          </w:p>
        </w:tc>
        <w:tc>
          <w:tcPr>
            <w:tcW w:w="7542" w:type="dxa"/>
            <w:vAlign w:val="center"/>
          </w:tcPr>
          <w:p>
            <w:pPr>
              <w:widowControl/>
              <w:spacing w:line="300" w:lineRule="auto"/>
              <w:contextualSpacing/>
              <w:rPr>
                <w:rFonts w:ascii="宋体" w:hAnsi="宋体"/>
                <w:color w:val="000000"/>
                <w:szCs w:val="21"/>
              </w:rPr>
            </w:pPr>
            <w:r>
              <w:rPr>
                <w:rFonts w:hint="eastAsia" w:ascii="宋体" w:hAnsi="宋体"/>
                <w:color w:val="000000"/>
                <w:szCs w:val="21"/>
              </w:rPr>
              <w:t>认购期首日9：00至认购结束日17：00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产品成立日</w:t>
            </w:r>
          </w:p>
        </w:tc>
        <w:tc>
          <w:tcPr>
            <w:tcW w:w="7542" w:type="dxa"/>
            <w:vAlign w:val="center"/>
          </w:tcPr>
          <w:p>
            <w:pPr>
              <w:widowControl/>
              <w:spacing w:line="300" w:lineRule="auto"/>
              <w:contextualSpacing/>
              <w:rPr>
                <w:rFonts w:ascii="宋体" w:hAnsi="宋体"/>
                <w:color w:val="000000"/>
                <w:szCs w:val="21"/>
              </w:rPr>
            </w:pPr>
            <w:r>
              <w:rPr>
                <w:rFonts w:hint="eastAsia" w:ascii="宋体" w:hAnsi="宋体"/>
                <w:color w:val="000000"/>
                <w:szCs w:val="21"/>
              </w:rPr>
              <w:t>〖2022〗年〖11〗月〖8〗日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产品到期日</w:t>
            </w:r>
          </w:p>
        </w:tc>
        <w:tc>
          <w:tcPr>
            <w:tcW w:w="7542" w:type="dxa"/>
            <w:vAlign w:val="center"/>
          </w:tcPr>
          <w:p>
            <w:pPr>
              <w:widowControl/>
              <w:spacing w:line="300" w:lineRule="auto"/>
              <w:contextualSpacing/>
              <w:rPr>
                <w:rFonts w:ascii="宋体" w:hAnsi="宋体"/>
                <w:color w:val="000000"/>
                <w:szCs w:val="21"/>
              </w:rPr>
            </w:pPr>
            <w:r>
              <w:rPr>
                <w:rFonts w:hint="eastAsia" w:ascii="宋体" w:hAnsi="宋体"/>
                <w:color w:val="000000"/>
                <w:szCs w:val="21"/>
              </w:rPr>
              <w:t>〖2023〗年〖11〗月〖16〗日，若到期日为非工作日则顺延至下一个工作日。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理财期限</w:t>
            </w:r>
          </w:p>
        </w:tc>
        <w:tc>
          <w:tcPr>
            <w:tcW w:w="7542" w:type="dxa"/>
            <w:vAlign w:val="center"/>
          </w:tcPr>
          <w:p>
            <w:pPr>
              <w:widowControl/>
              <w:spacing w:line="300" w:lineRule="auto"/>
              <w:contextualSpacing/>
              <w:rPr>
                <w:rFonts w:ascii="宋体" w:hAnsi="宋体"/>
                <w:color w:val="000000"/>
                <w:szCs w:val="21"/>
              </w:rPr>
            </w:pPr>
            <w:r>
              <w:rPr>
                <w:rFonts w:hint="eastAsia" w:ascii="宋体" w:hAnsi="宋体"/>
                <w:color w:val="000000"/>
                <w:szCs w:val="21"/>
              </w:rPr>
              <w:t>〖373〗天（实际理财期限受制于管理人提前终止权等条款）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认购起点金额</w:t>
            </w:r>
          </w:p>
        </w:tc>
        <w:tc>
          <w:tcPr>
            <w:tcW w:w="7542" w:type="dxa"/>
            <w:vAlign w:val="center"/>
          </w:tcPr>
          <w:p>
            <w:pPr>
              <w:widowControl/>
              <w:spacing w:line="300" w:lineRule="auto"/>
              <w:contextualSpacing/>
              <w:rPr>
                <w:rFonts w:hint="eastAsia" w:ascii="宋体" w:hAnsi="宋体"/>
                <w:color w:val="000000"/>
                <w:szCs w:val="21"/>
              </w:rPr>
            </w:pPr>
            <w:r>
              <w:rPr>
                <w:rFonts w:hint="eastAsia" w:ascii="宋体" w:hAnsi="宋体"/>
                <w:color w:val="000000"/>
                <w:szCs w:val="21"/>
              </w:rPr>
              <w:t>B份额：起点</w:t>
            </w:r>
            <w:r>
              <w:rPr>
                <w:rFonts w:hint="eastAsia" w:ascii="宋体" w:hAnsi="宋体" w:cs="宋体"/>
                <w:szCs w:val="21"/>
              </w:rPr>
              <w:t>〖1000〗</w:t>
            </w:r>
            <w:r>
              <w:rPr>
                <w:rFonts w:hint="eastAsia" w:ascii="宋体" w:hAnsi="宋体"/>
                <w:color w:val="000000"/>
                <w:szCs w:val="21"/>
              </w:rPr>
              <w:t>元整（具体以销售机构销售要素为准），超过认购起点部分，应为</w:t>
            </w:r>
            <w:r>
              <w:rPr>
                <w:rFonts w:hint="eastAsia" w:ascii="宋体" w:hAnsi="宋体" w:cs="宋体"/>
                <w:szCs w:val="21"/>
              </w:rPr>
              <w:t>〖1000〗</w:t>
            </w:r>
            <w:r>
              <w:rPr>
                <w:rFonts w:hint="eastAsia" w:ascii="宋体" w:hAnsi="宋体"/>
                <w:color w:val="000000"/>
                <w:szCs w:val="21"/>
              </w:rPr>
              <w:t>元的整数倍。</w:t>
            </w:r>
          </w:p>
          <w:p>
            <w:pPr>
              <w:widowControl/>
              <w:spacing w:line="300" w:lineRule="auto"/>
              <w:contextualSpacing/>
              <w:rPr>
                <w:rFonts w:hint="eastAsia" w:ascii="宋体" w:hAnsi="宋体"/>
                <w:color w:val="000000"/>
                <w:szCs w:val="21"/>
              </w:rPr>
            </w:pPr>
            <w:r>
              <w:rPr>
                <w:rFonts w:hint="eastAsia" w:ascii="宋体" w:hAnsi="宋体"/>
                <w:color w:val="000000"/>
                <w:szCs w:val="21"/>
              </w:rPr>
              <w:t>C份额：起点</w:t>
            </w:r>
            <w:r>
              <w:rPr>
                <w:rFonts w:hint="eastAsia" w:ascii="宋体" w:hAnsi="宋体" w:cs="宋体"/>
                <w:szCs w:val="21"/>
              </w:rPr>
              <w:t>〖1000〗</w:t>
            </w:r>
            <w:r>
              <w:rPr>
                <w:rFonts w:hint="eastAsia" w:ascii="宋体" w:hAnsi="宋体"/>
                <w:color w:val="000000"/>
                <w:szCs w:val="21"/>
              </w:rPr>
              <w:t>元整（具体以销售机构销售要素为准），超过认购起点部分，应为</w:t>
            </w:r>
            <w:r>
              <w:rPr>
                <w:rFonts w:hint="eastAsia" w:ascii="宋体" w:hAnsi="宋体" w:cs="宋体"/>
                <w:szCs w:val="21"/>
              </w:rPr>
              <w:t>〖1000〗</w:t>
            </w:r>
            <w:r>
              <w:rPr>
                <w:rFonts w:hint="eastAsia" w:ascii="宋体" w:hAnsi="宋体"/>
                <w:color w:val="000000"/>
                <w:szCs w:val="21"/>
              </w:rPr>
              <w:t>元的整数倍。</w:t>
            </w:r>
          </w:p>
          <w:p>
            <w:pPr>
              <w:widowControl/>
              <w:spacing w:line="300" w:lineRule="auto"/>
              <w:contextualSpacing/>
              <w:rPr>
                <w:rFonts w:hint="eastAsia" w:ascii="宋体" w:hAnsi="宋体"/>
                <w:color w:val="000000"/>
                <w:szCs w:val="21"/>
              </w:rPr>
            </w:pPr>
            <w:r>
              <w:rPr>
                <w:rFonts w:hint="eastAsia" w:ascii="宋体" w:hAnsi="宋体"/>
                <w:color w:val="000000"/>
                <w:szCs w:val="21"/>
              </w:rPr>
              <w:t>D份额：起点</w:t>
            </w:r>
            <w:r>
              <w:rPr>
                <w:rFonts w:hint="eastAsia" w:ascii="宋体" w:hAnsi="宋体" w:cs="宋体"/>
                <w:szCs w:val="21"/>
              </w:rPr>
              <w:t>〖1〗</w:t>
            </w:r>
            <w:r>
              <w:rPr>
                <w:rFonts w:hint="eastAsia" w:ascii="宋体" w:hAnsi="宋体"/>
                <w:color w:val="000000"/>
                <w:szCs w:val="21"/>
              </w:rPr>
              <w:t>元整（具体以销售机构销售要素为准），超过认购起点部分，应为</w:t>
            </w:r>
            <w:r>
              <w:rPr>
                <w:rFonts w:hint="eastAsia" w:ascii="宋体" w:hAnsi="宋体" w:cs="宋体"/>
                <w:szCs w:val="21"/>
              </w:rPr>
              <w:t>〖1〗</w:t>
            </w:r>
            <w:r>
              <w:rPr>
                <w:rFonts w:hint="eastAsia" w:ascii="宋体" w:hAnsi="宋体"/>
                <w:color w:val="000000"/>
                <w:szCs w:val="21"/>
              </w:rPr>
              <w:t>元的整数倍。</w:t>
            </w:r>
          </w:p>
          <w:p>
            <w:pPr>
              <w:widowControl/>
              <w:spacing w:line="300" w:lineRule="auto"/>
              <w:contextualSpacing/>
              <w:rPr>
                <w:rFonts w:hint="eastAsia" w:ascii="宋体" w:hAnsi="宋体"/>
                <w:color w:val="000000"/>
                <w:szCs w:val="21"/>
              </w:rPr>
            </w:pPr>
            <w:r>
              <w:rPr>
                <w:rFonts w:hint="eastAsia" w:ascii="宋体" w:hAnsi="宋体"/>
                <w:color w:val="000000"/>
                <w:szCs w:val="21"/>
              </w:rPr>
              <w:t>E份额：起点</w:t>
            </w:r>
            <w:r>
              <w:rPr>
                <w:rFonts w:hint="eastAsia" w:ascii="宋体" w:hAnsi="宋体" w:cs="宋体"/>
                <w:szCs w:val="21"/>
              </w:rPr>
              <w:t>〖1〗</w:t>
            </w:r>
            <w:r>
              <w:rPr>
                <w:rFonts w:hint="eastAsia" w:ascii="宋体" w:hAnsi="宋体"/>
                <w:color w:val="000000"/>
                <w:szCs w:val="21"/>
              </w:rPr>
              <w:t>元整（具体以销售机构销售要素为准），超过认购起点部分，应为</w:t>
            </w:r>
            <w:r>
              <w:rPr>
                <w:rFonts w:hint="eastAsia" w:ascii="宋体" w:hAnsi="宋体" w:cs="宋体"/>
                <w:szCs w:val="21"/>
              </w:rPr>
              <w:t>〖1〗</w:t>
            </w:r>
            <w:r>
              <w:rPr>
                <w:rFonts w:hint="eastAsia" w:ascii="宋体" w:hAnsi="宋体"/>
                <w:color w:val="000000"/>
                <w:szCs w:val="21"/>
              </w:rPr>
              <w:t>元的整数倍。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认购份额</w:t>
            </w:r>
          </w:p>
        </w:tc>
        <w:tc>
          <w:tcPr>
            <w:tcW w:w="7542" w:type="dxa"/>
            <w:vAlign w:val="center"/>
          </w:tcPr>
          <w:p>
            <w:pPr>
              <w:widowControl/>
              <w:spacing w:line="300" w:lineRule="auto"/>
              <w:contextualSpacing/>
              <w:rPr>
                <w:rFonts w:ascii="宋体" w:hAnsi="宋体"/>
                <w:color w:val="000000"/>
                <w:szCs w:val="21"/>
              </w:rPr>
            </w:pPr>
            <w:r>
              <w:rPr>
                <w:rFonts w:hint="eastAsia" w:ascii="宋体" w:hAnsi="宋体"/>
                <w:color w:val="000000"/>
                <w:szCs w:val="21"/>
              </w:rPr>
              <w:t>认购份额=认购金额/1元。认购份额保留至0.01份理财产品份额，小数点后两位以下四舍五入。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产品成立</w:t>
            </w:r>
          </w:p>
        </w:tc>
        <w:tc>
          <w:tcPr>
            <w:tcW w:w="7542" w:type="dxa"/>
            <w:vAlign w:val="center"/>
          </w:tcPr>
          <w:p>
            <w:pPr>
              <w:widowControl/>
              <w:spacing w:line="300" w:lineRule="auto"/>
              <w:contextualSpacing/>
              <w:rPr>
                <w:rFonts w:ascii="宋体" w:hAnsi="宋体"/>
                <w:color w:val="000000"/>
                <w:szCs w:val="21"/>
              </w:rPr>
            </w:pPr>
            <w:r>
              <w:rPr>
                <w:rFonts w:hint="eastAsia" w:ascii="宋体" w:hAnsi="宋体"/>
                <w:color w:val="000000"/>
                <w:szCs w:val="21"/>
              </w:rPr>
              <w:t>为保护投资者利益，管理人可根据市场变化情况或法定节假日调整缩短或延长认购期并提前或推迟成立，产品提前或推迟成立时管理人将调整相关日期并进行信息披露。产品最终规模以实际认购规模为准。如果产品认购总规模低于</w:t>
            </w:r>
            <w:r>
              <w:rPr>
                <w:rFonts w:hint="eastAsia" w:ascii="宋体" w:hAnsi="宋体" w:cs="宋体"/>
                <w:szCs w:val="21"/>
              </w:rPr>
              <w:t>〖3000〗</w:t>
            </w:r>
            <w:r>
              <w:rPr>
                <w:rFonts w:hint="eastAsia" w:ascii="宋体" w:hAnsi="宋体"/>
                <w:color w:val="000000"/>
                <w:szCs w:val="21"/>
              </w:rPr>
              <w:t>万元，则管理人可宣布本产品不成立并在原定产品成立日后2个工作日内通过管理人或销售机构发布产品不成立信息，投资者购买的理财资金将在原定产品成立日后2个工作日内划转至投资者指定理财账户，</w:t>
            </w:r>
            <w:r>
              <w:rPr>
                <w:rFonts w:hint="eastAsia" w:ascii="宋体" w:hAnsi="宋体"/>
                <w:b/>
                <w:color w:val="000000"/>
                <w:szCs w:val="21"/>
              </w:rPr>
              <w:t>该理财资金在原定产品开始日至资金到账日之间不计利息。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业绩比较基准</w:t>
            </w:r>
          </w:p>
        </w:tc>
        <w:tc>
          <w:tcPr>
            <w:tcW w:w="7542" w:type="dxa"/>
            <w:vAlign w:val="center"/>
          </w:tcPr>
          <w:p>
            <w:pPr>
              <w:widowControl/>
              <w:spacing w:line="300" w:lineRule="auto"/>
              <w:contextualSpacing/>
              <w:rPr>
                <w:rFonts w:hint="eastAsia" w:ascii="宋体" w:hAnsi="宋体"/>
                <w:color w:val="000000"/>
                <w:szCs w:val="21"/>
              </w:rPr>
            </w:pPr>
            <w:r>
              <w:rPr>
                <w:rFonts w:hint="eastAsia" w:ascii="宋体" w:hAnsi="宋体"/>
                <w:color w:val="000000"/>
                <w:szCs w:val="21"/>
              </w:rPr>
              <w:t>B份额：业绩比较基准为〖4.10%〗（年化）。</w:t>
            </w:r>
          </w:p>
          <w:p>
            <w:pPr>
              <w:widowControl/>
              <w:spacing w:line="300" w:lineRule="auto"/>
              <w:contextualSpacing/>
              <w:rPr>
                <w:rFonts w:hint="eastAsia" w:ascii="宋体" w:hAnsi="宋体"/>
                <w:color w:val="000000"/>
                <w:szCs w:val="21"/>
              </w:rPr>
            </w:pPr>
            <w:r>
              <w:rPr>
                <w:rFonts w:hint="eastAsia" w:ascii="宋体" w:hAnsi="宋体"/>
                <w:color w:val="000000"/>
                <w:szCs w:val="21"/>
              </w:rPr>
              <w:t>C份额：业绩比较基准为〖3.90%〗（年化）。</w:t>
            </w:r>
          </w:p>
          <w:p>
            <w:pPr>
              <w:widowControl/>
              <w:spacing w:line="300" w:lineRule="auto"/>
              <w:contextualSpacing/>
              <w:rPr>
                <w:rFonts w:hint="eastAsia" w:ascii="宋体" w:hAnsi="宋体"/>
                <w:color w:val="000000"/>
                <w:szCs w:val="21"/>
              </w:rPr>
            </w:pPr>
            <w:r>
              <w:rPr>
                <w:rFonts w:hint="eastAsia" w:ascii="宋体" w:hAnsi="宋体"/>
                <w:color w:val="000000"/>
                <w:szCs w:val="21"/>
              </w:rPr>
              <w:t>D份额：业绩比较基准为〖4.00%〗（年化）。</w:t>
            </w:r>
          </w:p>
          <w:p>
            <w:pPr>
              <w:widowControl/>
              <w:spacing w:line="300" w:lineRule="auto"/>
              <w:contextualSpacing/>
              <w:rPr>
                <w:rFonts w:hint="eastAsia" w:ascii="宋体" w:hAnsi="宋体"/>
                <w:color w:val="000000"/>
                <w:szCs w:val="21"/>
              </w:rPr>
            </w:pPr>
            <w:r>
              <w:rPr>
                <w:rFonts w:hint="eastAsia" w:ascii="宋体" w:hAnsi="宋体"/>
                <w:color w:val="000000"/>
                <w:szCs w:val="21"/>
              </w:rPr>
              <w:t>E份额：业绩比较基准为〖4.20%〗（年化）。</w:t>
            </w:r>
          </w:p>
          <w:p>
            <w:pPr>
              <w:widowControl/>
              <w:spacing w:line="300" w:lineRule="auto"/>
              <w:contextualSpacing/>
              <w:rPr>
                <w:rFonts w:hint="eastAsia" w:ascii="宋体" w:hAnsi="宋体"/>
                <w:b/>
                <w:color w:val="000000"/>
                <w:szCs w:val="21"/>
              </w:rPr>
            </w:pPr>
            <w:r>
              <w:rPr>
                <w:rFonts w:hint="eastAsia" w:ascii="宋体" w:hAnsi="宋体"/>
                <w:b/>
                <w:color w:val="000000"/>
                <w:szCs w:val="21"/>
              </w:rPr>
              <w:t>本产品为净值型理财产品，其业绩表现将随市场波动具有不确定性。管理人提醒投资者关注，业绩比较基准并不代表实际收益率。</w:t>
            </w:r>
          </w:p>
          <w:p>
            <w:pPr>
              <w:widowControl/>
              <w:spacing w:line="300" w:lineRule="auto"/>
              <w:contextualSpacing/>
              <w:rPr>
                <w:rFonts w:ascii="宋体" w:hAnsi="宋体"/>
                <w:color w:val="000000"/>
                <w:szCs w:val="21"/>
              </w:rPr>
            </w:pPr>
            <w:r>
              <w:rPr>
                <w:rFonts w:hint="eastAsia"/>
                <w:b/>
                <w:bCs/>
              </w:rPr>
              <w:t>本理财计划业绩比较基准由管理人根据投资范围及投资策略，结合市场环境因素进行测算而得出。业绩比较基准是管理人基于理财计划收益风险特征、投资策略、过往经验等因素对理财计划业绩设定的投资目标，不代表理财计划的未来表现和实际收益，也不构成对理财计划收益的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单位净值</w:t>
            </w:r>
          </w:p>
        </w:tc>
        <w:tc>
          <w:tcPr>
            <w:tcW w:w="7542" w:type="dxa"/>
            <w:vAlign w:val="center"/>
          </w:tcPr>
          <w:p>
            <w:pPr>
              <w:widowControl/>
              <w:spacing w:line="300" w:lineRule="auto"/>
              <w:contextualSpacing/>
              <w:rPr>
                <w:rFonts w:ascii="宋体" w:hAnsi="宋体"/>
                <w:color w:val="000000"/>
                <w:szCs w:val="21"/>
              </w:rPr>
            </w:pPr>
            <w:r>
              <w:rPr>
                <w:rFonts w:hint="eastAsia" w:ascii="宋体" w:hAnsi="宋体"/>
                <w:color w:val="000000"/>
                <w:szCs w:val="21"/>
              </w:rPr>
              <w:t>单位净值为提取相关费用后的单位理财产品份额净值，单位净值=理财产品估值日理财产品总净值/产品总份额，单位净值保留小数点后四位。</w:t>
            </w:r>
          </w:p>
          <w:p>
            <w:pPr>
              <w:widowControl/>
              <w:spacing w:line="300" w:lineRule="auto"/>
              <w:contextualSpacing/>
              <w:rPr>
                <w:rFonts w:ascii="宋体" w:hAnsi="宋体"/>
                <w:b/>
                <w:color w:val="000000"/>
                <w:szCs w:val="21"/>
              </w:rPr>
            </w:pPr>
            <w:r>
              <w:rPr>
                <w:rFonts w:hint="eastAsia" w:ascii="宋体" w:hAnsi="宋体"/>
                <w:color w:val="000000"/>
                <w:szCs w:val="21"/>
              </w:rPr>
              <w:t>理财产品总净值=理财产品认购总额+理财产品所获总收益-理财产品总费用（包括但不限于管理费、托管费、销售服务费等）。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理财资金与收益支付方式</w:t>
            </w:r>
          </w:p>
        </w:tc>
        <w:tc>
          <w:tcPr>
            <w:tcW w:w="7542" w:type="dxa"/>
            <w:vAlign w:val="center"/>
          </w:tcPr>
          <w:p>
            <w:pPr>
              <w:widowControl/>
              <w:spacing w:line="300" w:lineRule="auto"/>
              <w:contextualSpacing/>
              <w:rPr>
                <w:rFonts w:ascii="宋体" w:hAnsi="宋体"/>
                <w:color w:val="000000"/>
                <w:szCs w:val="21"/>
              </w:rPr>
            </w:pPr>
            <w:r>
              <w:rPr>
                <w:rFonts w:hint="eastAsia" w:ascii="宋体" w:hAnsi="宋体"/>
                <w:color w:val="000000"/>
                <w:szCs w:val="21"/>
              </w:rPr>
              <w:t>产品到期后的</w:t>
            </w:r>
            <w:r>
              <w:rPr>
                <w:rFonts w:hint="eastAsia" w:ascii="宋体" w:hAnsi="宋体"/>
                <w:b/>
                <w:color w:val="000000"/>
                <w:szCs w:val="21"/>
              </w:rPr>
              <w:t>3</w:t>
            </w:r>
            <w:r>
              <w:rPr>
                <w:rFonts w:hint="eastAsia" w:ascii="宋体" w:hAnsi="宋体"/>
                <w:color w:val="000000"/>
                <w:szCs w:val="21"/>
              </w:rPr>
              <w:t>个工作日内（遇节假日顺延）理财资金与收益一次性支付。如遇资金在途或法定工作日调整，实际资金到账日以公告为准。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产品费用</w:t>
            </w:r>
          </w:p>
        </w:tc>
        <w:tc>
          <w:tcPr>
            <w:tcW w:w="7542" w:type="dxa"/>
            <w:vAlign w:val="center"/>
          </w:tcPr>
          <w:p>
            <w:pPr>
              <w:widowControl/>
              <w:spacing w:line="300" w:lineRule="auto"/>
              <w:contextualSpacing/>
              <w:rPr>
                <w:rFonts w:hint="eastAsia" w:ascii="宋体" w:hAnsi="宋体"/>
                <w:color w:val="000000"/>
                <w:szCs w:val="21"/>
              </w:rPr>
            </w:pPr>
            <w:r>
              <w:rPr>
                <w:rFonts w:hint="eastAsia" w:ascii="宋体" w:hAnsi="宋体"/>
                <w:color w:val="000000"/>
                <w:szCs w:val="21"/>
              </w:rPr>
              <w:t>1、销售服务费。按日计提。</w:t>
            </w:r>
          </w:p>
          <w:p>
            <w:pPr>
              <w:widowControl/>
              <w:spacing w:line="300" w:lineRule="auto"/>
              <w:contextualSpacing/>
              <w:rPr>
                <w:rFonts w:hint="eastAsia" w:ascii="宋体" w:hAnsi="宋体"/>
                <w:szCs w:val="21"/>
              </w:rPr>
            </w:pPr>
            <w:r>
              <w:rPr>
                <w:rFonts w:hint="eastAsia" w:ascii="宋体" w:hAnsi="宋体"/>
                <w:szCs w:val="21"/>
              </w:rPr>
              <w:t>B份额：按照产品</w:t>
            </w:r>
            <w:r>
              <w:rPr>
                <w:rFonts w:hint="eastAsia"/>
              </w:rPr>
              <w:t>资产净值</w:t>
            </w:r>
            <w:r>
              <w:rPr>
                <w:rFonts w:hint="eastAsia" w:ascii="宋体" w:hAnsi="宋体"/>
                <w:szCs w:val="21"/>
              </w:rPr>
              <w:t>收取年化</w:t>
            </w:r>
            <w:r>
              <w:rPr>
                <w:rFonts w:hint="eastAsia" w:ascii="宋体" w:hAnsi="宋体" w:cs="宋体"/>
                <w:szCs w:val="21"/>
              </w:rPr>
              <w:t>〖0%〗</w:t>
            </w:r>
            <w:r>
              <w:rPr>
                <w:rFonts w:hint="eastAsia" w:ascii="宋体" w:hAnsi="宋体"/>
                <w:szCs w:val="21"/>
              </w:rPr>
              <w:t>的销售服务费。</w:t>
            </w:r>
          </w:p>
          <w:p>
            <w:pPr>
              <w:widowControl/>
              <w:spacing w:line="300" w:lineRule="auto"/>
              <w:contextualSpacing/>
              <w:rPr>
                <w:rFonts w:hint="eastAsia" w:ascii="宋体" w:hAnsi="宋体"/>
                <w:szCs w:val="21"/>
              </w:rPr>
            </w:pPr>
            <w:r>
              <w:rPr>
                <w:rFonts w:hint="eastAsia" w:ascii="宋体" w:hAnsi="宋体"/>
                <w:szCs w:val="21"/>
              </w:rPr>
              <w:t>C份额：按照产品</w:t>
            </w:r>
            <w:r>
              <w:rPr>
                <w:rFonts w:hint="eastAsia"/>
              </w:rPr>
              <w:t>资产净值</w:t>
            </w:r>
            <w:r>
              <w:rPr>
                <w:rFonts w:hint="eastAsia" w:ascii="宋体" w:hAnsi="宋体"/>
                <w:szCs w:val="21"/>
              </w:rPr>
              <w:t>收取年化</w:t>
            </w:r>
            <w:r>
              <w:rPr>
                <w:rFonts w:hint="eastAsia" w:ascii="宋体" w:hAnsi="宋体" w:cs="宋体"/>
                <w:szCs w:val="21"/>
              </w:rPr>
              <w:t>〖0.20%〗</w:t>
            </w:r>
            <w:r>
              <w:rPr>
                <w:rFonts w:hint="eastAsia" w:ascii="宋体" w:hAnsi="宋体"/>
                <w:szCs w:val="21"/>
              </w:rPr>
              <w:t>的销售服务费。</w:t>
            </w:r>
          </w:p>
          <w:p>
            <w:pPr>
              <w:widowControl/>
              <w:spacing w:line="300" w:lineRule="auto"/>
              <w:contextualSpacing/>
              <w:rPr>
                <w:rFonts w:hint="eastAsia" w:ascii="宋体" w:hAnsi="宋体"/>
                <w:szCs w:val="21"/>
              </w:rPr>
            </w:pPr>
            <w:r>
              <w:rPr>
                <w:rFonts w:hint="eastAsia" w:ascii="宋体" w:hAnsi="宋体"/>
                <w:szCs w:val="21"/>
              </w:rPr>
              <w:t>D份额：按照产品</w:t>
            </w:r>
            <w:r>
              <w:rPr>
                <w:rFonts w:hint="eastAsia"/>
              </w:rPr>
              <w:t>资产净值</w:t>
            </w:r>
            <w:r>
              <w:rPr>
                <w:rFonts w:hint="eastAsia" w:ascii="宋体" w:hAnsi="宋体"/>
                <w:szCs w:val="21"/>
              </w:rPr>
              <w:t>收取年化</w:t>
            </w:r>
            <w:r>
              <w:rPr>
                <w:rFonts w:hint="eastAsia" w:ascii="宋体" w:hAnsi="宋体" w:cs="宋体"/>
                <w:szCs w:val="21"/>
              </w:rPr>
              <w:t>〖0.10%〗</w:t>
            </w:r>
            <w:r>
              <w:rPr>
                <w:rFonts w:hint="eastAsia" w:ascii="宋体" w:hAnsi="宋体"/>
                <w:szCs w:val="21"/>
              </w:rPr>
              <w:t>的销售服务费。</w:t>
            </w:r>
          </w:p>
          <w:p>
            <w:pPr>
              <w:widowControl/>
              <w:spacing w:line="300" w:lineRule="auto"/>
              <w:contextualSpacing/>
              <w:rPr>
                <w:rFonts w:hint="eastAsia" w:ascii="宋体" w:hAnsi="宋体"/>
                <w:szCs w:val="21"/>
              </w:rPr>
            </w:pPr>
            <w:r>
              <w:rPr>
                <w:rFonts w:hint="eastAsia" w:ascii="宋体" w:hAnsi="宋体"/>
                <w:szCs w:val="21"/>
              </w:rPr>
              <w:t>E份额：按照产品</w:t>
            </w:r>
            <w:r>
              <w:rPr>
                <w:rFonts w:hint="eastAsia"/>
              </w:rPr>
              <w:t>资产净值</w:t>
            </w:r>
            <w:r>
              <w:rPr>
                <w:rFonts w:hint="eastAsia" w:ascii="宋体" w:hAnsi="宋体"/>
                <w:szCs w:val="21"/>
              </w:rPr>
              <w:t>收取年化</w:t>
            </w:r>
            <w:r>
              <w:rPr>
                <w:rFonts w:hint="eastAsia" w:ascii="宋体" w:hAnsi="宋体" w:cs="宋体"/>
                <w:szCs w:val="21"/>
              </w:rPr>
              <w:t>〖0%〗</w:t>
            </w:r>
            <w:r>
              <w:rPr>
                <w:rFonts w:hint="eastAsia" w:ascii="宋体" w:hAnsi="宋体"/>
                <w:szCs w:val="21"/>
              </w:rPr>
              <w:t>的销售服务费。</w:t>
            </w:r>
          </w:p>
          <w:p>
            <w:pPr>
              <w:widowControl/>
              <w:spacing w:line="300" w:lineRule="auto"/>
              <w:contextualSpacing/>
              <w:rPr>
                <w:rFonts w:ascii="宋体" w:hAnsi="宋体"/>
                <w:color w:val="000000"/>
                <w:szCs w:val="21"/>
              </w:rPr>
            </w:pPr>
            <w:r>
              <w:rPr>
                <w:rFonts w:hint="eastAsia" w:ascii="宋体" w:hAnsi="宋体"/>
                <w:color w:val="000000"/>
                <w:szCs w:val="21"/>
              </w:rPr>
              <w:t>2、托管费。本产品托管人按照产品</w:t>
            </w:r>
            <w:r>
              <w:rPr>
                <w:rFonts w:hint="eastAsia"/>
              </w:rPr>
              <w:t>资产净值</w:t>
            </w:r>
            <w:r>
              <w:rPr>
                <w:rFonts w:hint="eastAsia" w:ascii="宋体" w:hAnsi="宋体"/>
                <w:color w:val="000000"/>
                <w:szCs w:val="21"/>
              </w:rPr>
              <w:t>收取年化</w:t>
            </w:r>
            <w:r>
              <w:rPr>
                <w:rFonts w:hint="eastAsia" w:ascii="宋体" w:hAnsi="宋体" w:cs="宋体"/>
                <w:szCs w:val="21"/>
              </w:rPr>
              <w:t>〖0.025%〗</w:t>
            </w:r>
            <w:r>
              <w:rPr>
                <w:rFonts w:hint="eastAsia" w:ascii="宋体" w:hAnsi="宋体"/>
                <w:color w:val="000000"/>
                <w:szCs w:val="21"/>
              </w:rPr>
              <w:t>的托管费。按日计提。</w:t>
            </w:r>
          </w:p>
          <w:p>
            <w:pPr>
              <w:widowControl/>
              <w:spacing w:line="300" w:lineRule="auto"/>
              <w:contextualSpacing/>
              <w:rPr>
                <w:rFonts w:hint="eastAsia" w:ascii="宋体" w:hAnsi="宋体"/>
                <w:color w:val="000000"/>
                <w:szCs w:val="21"/>
              </w:rPr>
            </w:pPr>
            <w:r>
              <w:rPr>
                <w:rFonts w:hint="eastAsia" w:ascii="宋体" w:hAnsi="宋体"/>
                <w:color w:val="000000"/>
                <w:szCs w:val="21"/>
              </w:rPr>
              <w:t>3、固定管理费。按日计提。</w:t>
            </w:r>
          </w:p>
          <w:p>
            <w:pPr>
              <w:widowControl/>
              <w:spacing w:line="300" w:lineRule="auto"/>
              <w:contextualSpacing/>
              <w:rPr>
                <w:rFonts w:hint="eastAsia" w:ascii="宋体" w:hAnsi="宋体"/>
                <w:szCs w:val="21"/>
              </w:rPr>
            </w:pPr>
            <w:r>
              <w:rPr>
                <w:rFonts w:hint="eastAsia" w:ascii="宋体" w:hAnsi="宋体"/>
                <w:szCs w:val="21"/>
              </w:rPr>
              <w:t>B份额：按照产品</w:t>
            </w:r>
            <w:r>
              <w:rPr>
                <w:rFonts w:hint="eastAsia"/>
              </w:rPr>
              <w:t>资产净值</w:t>
            </w:r>
            <w:r>
              <w:rPr>
                <w:rFonts w:hint="eastAsia" w:ascii="宋体" w:hAnsi="宋体"/>
                <w:szCs w:val="21"/>
              </w:rPr>
              <w:t>收取年化</w:t>
            </w:r>
            <w:r>
              <w:rPr>
                <w:rFonts w:hint="eastAsia" w:ascii="宋体" w:hAnsi="宋体" w:cs="宋体"/>
                <w:szCs w:val="21"/>
              </w:rPr>
              <w:t>〖0.40%〗</w:t>
            </w:r>
            <w:r>
              <w:rPr>
                <w:rFonts w:hint="eastAsia" w:ascii="宋体" w:hAnsi="宋体"/>
                <w:szCs w:val="21"/>
              </w:rPr>
              <w:t>的固定管理费。</w:t>
            </w:r>
          </w:p>
          <w:p>
            <w:pPr>
              <w:widowControl/>
              <w:spacing w:line="300" w:lineRule="auto"/>
              <w:contextualSpacing/>
              <w:rPr>
                <w:rFonts w:hint="eastAsia" w:ascii="宋体" w:hAnsi="宋体"/>
                <w:szCs w:val="21"/>
              </w:rPr>
            </w:pPr>
            <w:r>
              <w:rPr>
                <w:rFonts w:hint="eastAsia" w:ascii="宋体" w:hAnsi="宋体"/>
                <w:szCs w:val="21"/>
              </w:rPr>
              <w:t>C份额：按照产品</w:t>
            </w:r>
            <w:r>
              <w:rPr>
                <w:rFonts w:hint="eastAsia"/>
              </w:rPr>
              <w:t>资产净值</w:t>
            </w:r>
            <w:r>
              <w:rPr>
                <w:rFonts w:hint="eastAsia" w:ascii="宋体" w:hAnsi="宋体"/>
                <w:szCs w:val="21"/>
              </w:rPr>
              <w:t>收取年化</w:t>
            </w:r>
            <w:r>
              <w:rPr>
                <w:rFonts w:hint="eastAsia" w:ascii="宋体" w:hAnsi="宋体" w:cs="宋体"/>
                <w:szCs w:val="21"/>
              </w:rPr>
              <w:t>〖0.40%〗</w:t>
            </w:r>
            <w:r>
              <w:rPr>
                <w:rFonts w:hint="eastAsia" w:ascii="宋体" w:hAnsi="宋体"/>
                <w:szCs w:val="21"/>
              </w:rPr>
              <w:t>的固定管理费。</w:t>
            </w:r>
          </w:p>
          <w:p>
            <w:pPr>
              <w:widowControl/>
              <w:spacing w:line="300" w:lineRule="auto"/>
              <w:contextualSpacing/>
              <w:rPr>
                <w:rFonts w:hint="eastAsia" w:ascii="宋体" w:hAnsi="宋体"/>
                <w:szCs w:val="21"/>
              </w:rPr>
            </w:pPr>
            <w:r>
              <w:rPr>
                <w:rFonts w:hint="eastAsia" w:ascii="宋体" w:hAnsi="宋体"/>
                <w:szCs w:val="21"/>
              </w:rPr>
              <w:t>D份额：按照产品</w:t>
            </w:r>
            <w:r>
              <w:rPr>
                <w:rFonts w:hint="eastAsia"/>
              </w:rPr>
              <w:t>资产净值</w:t>
            </w:r>
            <w:r>
              <w:rPr>
                <w:rFonts w:hint="eastAsia" w:ascii="宋体" w:hAnsi="宋体"/>
                <w:szCs w:val="21"/>
              </w:rPr>
              <w:t>收取年化</w:t>
            </w:r>
            <w:r>
              <w:rPr>
                <w:rFonts w:hint="eastAsia" w:ascii="宋体" w:hAnsi="宋体" w:cs="宋体"/>
                <w:szCs w:val="21"/>
              </w:rPr>
              <w:t>〖0.40%〗</w:t>
            </w:r>
            <w:r>
              <w:rPr>
                <w:rFonts w:hint="eastAsia" w:ascii="宋体" w:hAnsi="宋体"/>
                <w:szCs w:val="21"/>
              </w:rPr>
              <w:t>的固定管理费。</w:t>
            </w:r>
          </w:p>
          <w:p>
            <w:pPr>
              <w:widowControl/>
              <w:spacing w:line="300" w:lineRule="auto"/>
              <w:contextualSpacing/>
              <w:rPr>
                <w:rFonts w:hint="eastAsia" w:ascii="宋体" w:hAnsi="宋体"/>
                <w:szCs w:val="21"/>
              </w:rPr>
            </w:pPr>
            <w:r>
              <w:rPr>
                <w:rFonts w:hint="eastAsia" w:ascii="宋体" w:hAnsi="宋体"/>
                <w:szCs w:val="21"/>
              </w:rPr>
              <w:t>E份额：按照产品</w:t>
            </w:r>
            <w:r>
              <w:rPr>
                <w:rFonts w:hint="eastAsia"/>
              </w:rPr>
              <w:t>资产净值</w:t>
            </w:r>
            <w:r>
              <w:rPr>
                <w:rFonts w:hint="eastAsia" w:ascii="宋体" w:hAnsi="宋体"/>
                <w:szCs w:val="21"/>
              </w:rPr>
              <w:t>收取年化</w:t>
            </w:r>
            <w:r>
              <w:rPr>
                <w:rFonts w:hint="eastAsia" w:ascii="宋体" w:hAnsi="宋体" w:cs="宋体"/>
                <w:szCs w:val="21"/>
              </w:rPr>
              <w:t>〖0.30%〗</w:t>
            </w:r>
            <w:r>
              <w:rPr>
                <w:rFonts w:hint="eastAsia" w:ascii="宋体" w:hAnsi="宋体"/>
                <w:szCs w:val="21"/>
              </w:rPr>
              <w:t>的固定管理费。</w:t>
            </w:r>
          </w:p>
          <w:p>
            <w:pPr>
              <w:widowControl/>
              <w:spacing w:line="300" w:lineRule="auto"/>
              <w:contextualSpacing/>
              <w:rPr>
                <w:rFonts w:ascii="宋体" w:hAnsi="宋体"/>
                <w:color w:val="000000"/>
                <w:szCs w:val="21"/>
              </w:rPr>
            </w:pPr>
            <w:r>
              <w:rPr>
                <w:rFonts w:hint="eastAsia" w:ascii="宋体" w:hAnsi="宋体"/>
                <w:color w:val="000000"/>
                <w:szCs w:val="21"/>
              </w:rPr>
              <w:t>4、浮动管理费。本产品管理人根据理财计划投资情况计算浮动管理费，本理财产品到期日（提前终止日）的折合年化收益率超过业绩比较基准的部分,</w:t>
            </w:r>
            <w:r>
              <w:rPr>
                <w:rFonts w:hint="eastAsia" w:ascii="宋体" w:hAnsi="宋体"/>
                <w:b/>
                <w:color w:val="000000"/>
                <w:szCs w:val="21"/>
              </w:rPr>
              <w:t>管理人提取</w:t>
            </w:r>
            <w:r>
              <w:rPr>
                <w:rFonts w:hint="eastAsia" w:ascii="宋体" w:hAnsi="宋体" w:cs="宋体"/>
                <w:szCs w:val="21"/>
              </w:rPr>
              <w:t>〖80%〗</w:t>
            </w:r>
            <w:r>
              <w:rPr>
                <w:rFonts w:hint="eastAsia" w:ascii="宋体" w:hAnsi="宋体"/>
                <w:b/>
                <w:color w:val="000000"/>
                <w:szCs w:val="21"/>
              </w:rPr>
              <w:t>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提前终止</w:t>
            </w:r>
          </w:p>
        </w:tc>
        <w:tc>
          <w:tcPr>
            <w:tcW w:w="7542" w:type="dxa"/>
            <w:vAlign w:val="center"/>
          </w:tcPr>
          <w:p>
            <w:pPr>
              <w:widowControl/>
              <w:spacing w:line="300" w:lineRule="auto"/>
              <w:contextualSpacing/>
              <w:rPr>
                <w:rFonts w:ascii="宋体" w:hAnsi="宋体"/>
                <w:b/>
                <w:color w:val="000000"/>
                <w:kern w:val="0"/>
                <w:szCs w:val="21"/>
              </w:rPr>
            </w:pPr>
            <w:r>
              <w:rPr>
                <w:rFonts w:ascii="宋体" w:hAnsi="宋体" w:cs="宋体"/>
                <w:b/>
                <w:color w:val="000000"/>
                <w:kern w:val="0"/>
                <w:szCs w:val="21"/>
              </w:rPr>
              <w:t>如遇国家金融政策出现重大调整并影响到本产品的正常运行时，</w:t>
            </w:r>
            <w:r>
              <w:rPr>
                <w:rFonts w:hint="eastAsia" w:ascii="宋体" w:hAnsi="宋体" w:cs="宋体"/>
                <w:b/>
                <w:color w:val="000000"/>
                <w:kern w:val="0"/>
                <w:szCs w:val="21"/>
              </w:rPr>
              <w:t>管理人</w:t>
            </w:r>
            <w:r>
              <w:rPr>
                <w:rFonts w:ascii="宋体" w:hAnsi="宋体" w:cs="宋体"/>
                <w:b/>
                <w:color w:val="000000"/>
                <w:kern w:val="0"/>
                <w:szCs w:val="21"/>
              </w:rPr>
              <w:t>有权提前终止本产品</w:t>
            </w:r>
            <w:r>
              <w:rPr>
                <w:rFonts w:hint="eastAsia" w:ascii="宋体" w:hAnsi="宋体" w:cs="宋体"/>
                <w:b/>
                <w:color w:val="000000"/>
                <w:kern w:val="0"/>
                <w:szCs w:val="21"/>
              </w:rPr>
              <w:t>。具体参见说明书第八节。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税费规定</w:t>
            </w:r>
          </w:p>
        </w:tc>
        <w:tc>
          <w:tcPr>
            <w:tcW w:w="7542" w:type="dxa"/>
            <w:vAlign w:val="center"/>
          </w:tcPr>
          <w:p>
            <w:pPr>
              <w:spacing w:line="300" w:lineRule="auto"/>
              <w:outlineLvl w:val="0"/>
              <w:rPr>
                <w:rFonts w:ascii="宋体" w:hAnsi="宋体" w:cs="宋体"/>
                <w:color w:val="000000"/>
                <w:szCs w:val="21"/>
              </w:rPr>
            </w:pPr>
            <w:r>
              <w:rPr>
                <w:rFonts w:hint="eastAsia" w:ascii="宋体" w:hAnsi="宋体" w:cs="宋体"/>
                <w:color w:val="000000"/>
                <w:szCs w:val="21"/>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widowControl/>
              <w:spacing w:line="300" w:lineRule="auto"/>
              <w:contextualSpacing/>
              <w:rPr>
                <w:rFonts w:ascii="宋体" w:hAnsi="宋体" w:cs="宋体"/>
                <w:color w:val="000000"/>
                <w:szCs w:val="21"/>
              </w:rPr>
            </w:pPr>
            <w:r>
              <w:rPr>
                <w:rFonts w:hint="eastAsia" w:ascii="宋体" w:hAnsi="宋体" w:cs="宋体"/>
                <w:color w:val="000000"/>
                <w:szCs w:val="21"/>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845" w:type="dxa"/>
            <w:vAlign w:val="center"/>
          </w:tcPr>
          <w:p>
            <w:pPr>
              <w:widowControl/>
              <w:spacing w:line="300" w:lineRule="auto"/>
              <w:contextualSpacing/>
              <w:jc w:val="center"/>
              <w:rPr>
                <w:rFonts w:ascii="宋体" w:hAnsi="宋体" w:cs="宋体"/>
                <w:color w:val="000000"/>
                <w:kern w:val="0"/>
                <w:szCs w:val="21"/>
              </w:rPr>
            </w:pPr>
            <w:r>
              <w:rPr>
                <w:rFonts w:hint="eastAsia" w:ascii="宋体" w:hAnsi="宋体"/>
                <w:color w:val="000000"/>
                <w:szCs w:val="21"/>
              </w:rPr>
              <w:t>融资服务</w:t>
            </w:r>
          </w:p>
        </w:tc>
        <w:tc>
          <w:tcPr>
            <w:tcW w:w="7542" w:type="dxa"/>
            <w:vAlign w:val="bottom"/>
          </w:tcPr>
          <w:p>
            <w:pPr>
              <w:spacing w:line="300" w:lineRule="auto"/>
              <w:rPr>
                <w:rFonts w:ascii="宋体" w:hAnsi="宋体" w:cs="宋体"/>
                <w:b/>
                <w:color w:val="000000"/>
                <w:kern w:val="0"/>
                <w:szCs w:val="21"/>
              </w:rPr>
            </w:pPr>
            <w:r>
              <w:rPr>
                <w:rFonts w:hint="eastAsia" w:ascii="宋体" w:hAnsi="宋体" w:cs="宋体"/>
                <w:b/>
                <w:color w:val="000000"/>
                <w:szCs w:val="21"/>
              </w:rPr>
              <w:t>投资者在理财期限内不能提前支取，如需质押按销售机构相关规定执行。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72" w:hRule="atLeast"/>
        </w:trPr>
        <w:tc>
          <w:tcPr>
            <w:tcW w:w="1845" w:type="dxa"/>
            <w:tcBorders>
              <w:top w:val="single" w:color="auto" w:sz="4" w:space="0"/>
              <w:left w:val="single" w:color="auto" w:sz="4" w:space="0"/>
              <w:bottom w:val="single" w:color="auto" w:sz="4" w:space="0"/>
              <w:right w:val="single" w:color="auto" w:sz="4" w:space="0"/>
            </w:tcBorders>
            <w:vAlign w:val="center"/>
          </w:tcPr>
          <w:p>
            <w:pPr>
              <w:widowControl/>
              <w:spacing w:line="300" w:lineRule="auto"/>
              <w:contextualSpacing/>
              <w:jc w:val="center"/>
              <w:rPr>
                <w:rFonts w:ascii="宋体" w:hAnsi="宋体"/>
                <w:color w:val="000000"/>
                <w:szCs w:val="21"/>
              </w:rPr>
            </w:pPr>
            <w:r>
              <w:rPr>
                <w:rFonts w:hint="eastAsia" w:ascii="宋体" w:hAnsi="宋体"/>
                <w:color w:val="000000"/>
                <w:szCs w:val="21"/>
              </w:rPr>
              <w:t>其他规定</w:t>
            </w:r>
          </w:p>
        </w:tc>
        <w:tc>
          <w:tcPr>
            <w:tcW w:w="754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宋体" w:hAnsi="宋体"/>
                <w:color w:val="000000"/>
                <w:szCs w:val="21"/>
              </w:rPr>
            </w:pPr>
            <w:r>
              <w:rPr>
                <w:rFonts w:hint="eastAsia" w:ascii="宋体" w:hAnsi="宋体"/>
                <w:color w:val="000000"/>
                <w:szCs w:val="21"/>
              </w:rPr>
              <w:t>认购</w:t>
            </w:r>
            <w:r>
              <w:rPr>
                <w:rFonts w:hint="eastAsia" w:ascii="宋体" w:hAnsi="宋体" w:cs="宋体"/>
                <w:color w:val="000000"/>
                <w:szCs w:val="21"/>
              </w:rPr>
              <w:t>期内按照活期存款利率计息，</w:t>
            </w:r>
            <w:r>
              <w:rPr>
                <w:rFonts w:hint="eastAsia" w:ascii="宋体" w:hAnsi="宋体"/>
                <w:color w:val="000000"/>
                <w:szCs w:val="21"/>
              </w:rPr>
              <w:t>认购</w:t>
            </w:r>
            <w:r>
              <w:rPr>
                <w:rFonts w:hint="eastAsia" w:ascii="宋体" w:hAnsi="宋体" w:cs="宋体"/>
                <w:color w:val="000000"/>
                <w:szCs w:val="21"/>
              </w:rPr>
              <w:t>期内的利息不计入认购本金份额。到期日（或理财产品实际终止日）到理财资金返还到账日为还本清算期，还本清算期内不计付利息。</w:t>
            </w:r>
          </w:p>
        </w:tc>
      </w:tr>
    </w:tbl>
    <w:p>
      <w:pPr>
        <w:spacing w:line="300" w:lineRule="auto"/>
        <w:rPr>
          <w:rFonts w:ascii="宋体" w:hAnsi="宋体" w:cs="宋体"/>
          <w:b/>
          <w:color w:val="000000"/>
          <w:szCs w:val="21"/>
        </w:rPr>
      </w:pPr>
      <w:r>
        <w:rPr>
          <w:rFonts w:hint="eastAsia" w:ascii="宋体" w:hAnsi="宋体"/>
          <w:b/>
          <w:color w:val="000000"/>
          <w:szCs w:val="21"/>
        </w:rPr>
        <w:t>特别说明：</w:t>
      </w:r>
      <w:r>
        <w:rPr>
          <w:rFonts w:hint="eastAsia" w:ascii="宋体" w:hAnsi="宋体" w:cs="宋体"/>
          <w:b/>
          <w:color w:val="000000"/>
          <w:szCs w:val="21"/>
        </w:rPr>
        <w:t>本理财产品属于净值型理财产品，投资须谨慎。管理人对理财本金及收益不提供保证承诺，请投资者基于自身的独立判断进行投资决策。</w:t>
      </w:r>
    </w:p>
    <w:p>
      <w:pPr>
        <w:pStyle w:val="6"/>
        <w:numPr>
          <w:ilvl w:val="0"/>
          <w:numId w:val="2"/>
        </w:numPr>
        <w:spacing w:before="0" w:after="0" w:line="300" w:lineRule="auto"/>
        <w:jc w:val="both"/>
        <w:rPr>
          <w:rFonts w:cs="宋体"/>
          <w:color w:val="000000"/>
          <w:sz w:val="28"/>
          <w:szCs w:val="28"/>
        </w:rPr>
      </w:pPr>
      <w:r>
        <w:rPr>
          <w:rFonts w:hint="eastAsia" w:cs="宋体"/>
          <w:color w:val="000000"/>
          <w:sz w:val="28"/>
          <w:szCs w:val="28"/>
        </w:rPr>
        <w:t>产品投资</w:t>
      </w:r>
    </w:p>
    <w:p>
      <w:pPr>
        <w:pStyle w:val="17"/>
        <w:numPr>
          <w:ilvl w:val="0"/>
          <w:numId w:val="4"/>
        </w:numPr>
        <w:adjustRightInd/>
        <w:spacing w:line="300" w:lineRule="auto"/>
        <w:rPr>
          <w:rFonts w:ascii="宋体" w:cs="宋体"/>
          <w:sz w:val="21"/>
          <w:szCs w:val="21"/>
        </w:rPr>
      </w:pPr>
      <w:r>
        <w:rPr>
          <w:rFonts w:hint="eastAsia" w:ascii="宋体" w:cs="宋体"/>
          <w:sz w:val="21"/>
          <w:szCs w:val="21"/>
        </w:rPr>
        <w:t>投资范围及投资比例：本理财产品主要投资于以下符合监管要求的各类资产：</w:t>
      </w:r>
    </w:p>
    <w:p>
      <w:pPr>
        <w:pStyle w:val="17"/>
        <w:numPr>
          <w:ilvl w:val="0"/>
          <w:numId w:val="5"/>
        </w:numPr>
        <w:adjustRightInd/>
        <w:spacing w:line="300" w:lineRule="auto"/>
        <w:rPr>
          <w:rFonts w:ascii="宋体" w:cs="宋体"/>
          <w:sz w:val="21"/>
          <w:szCs w:val="21"/>
        </w:rPr>
      </w:pPr>
      <w:r>
        <w:rPr>
          <w:rFonts w:hint="eastAsia" w:ascii="宋体" w:cs="宋体"/>
          <w:sz w:val="21"/>
          <w:szCs w:val="21"/>
        </w:rPr>
        <w:t>固定收益类资产：投资比例</w:t>
      </w:r>
      <w:r>
        <w:rPr>
          <w:rFonts w:hint="eastAsia" w:ascii="宋体" w:hAnsi="宋体" w:cs="宋体"/>
          <w:sz w:val="21"/>
          <w:szCs w:val="21"/>
        </w:rPr>
        <w:t>〖80%-100%〗</w:t>
      </w:r>
      <w:r>
        <w:rPr>
          <w:rFonts w:hint="eastAsia" w:ascii="宋体" w:cs="宋体"/>
          <w:sz w:val="21"/>
          <w:szCs w:val="21"/>
        </w:rPr>
        <w:t>,包括但不限于各类债券、存款、货币市场金融工具等高流动性资产、债券基金、质押式及买断式回购，其他符合监管要求的固定收益类资产及资产管理产品；</w:t>
      </w:r>
    </w:p>
    <w:p>
      <w:pPr>
        <w:pStyle w:val="17"/>
        <w:numPr>
          <w:ilvl w:val="0"/>
          <w:numId w:val="5"/>
        </w:numPr>
        <w:adjustRightInd/>
        <w:spacing w:line="300" w:lineRule="auto"/>
        <w:rPr>
          <w:rFonts w:ascii="宋体" w:cs="宋体"/>
          <w:sz w:val="21"/>
          <w:szCs w:val="21"/>
        </w:rPr>
      </w:pPr>
      <w:r>
        <w:rPr>
          <w:rFonts w:hint="eastAsia" w:ascii="宋体" w:cs="宋体"/>
          <w:sz w:val="21"/>
          <w:szCs w:val="21"/>
        </w:rPr>
        <w:t>其他符合监管要求的资产：投资比例</w:t>
      </w:r>
      <w:r>
        <w:rPr>
          <w:rFonts w:hint="eastAsia" w:ascii="宋体" w:hAnsi="宋体" w:cs="宋体"/>
          <w:sz w:val="21"/>
          <w:szCs w:val="21"/>
        </w:rPr>
        <w:t>〖0-20%〗</w:t>
      </w:r>
      <w:r>
        <w:rPr>
          <w:rFonts w:hint="eastAsia" w:ascii="宋体" w:cs="宋体"/>
          <w:sz w:val="21"/>
          <w:szCs w:val="21"/>
        </w:rPr>
        <w:t>,包括但不限于股票及股票型基金，其他符合监管要求的资产及资产管理产品。</w:t>
      </w:r>
    </w:p>
    <w:p>
      <w:pPr>
        <w:pStyle w:val="17"/>
        <w:adjustRightInd/>
        <w:spacing w:line="300" w:lineRule="auto"/>
        <w:ind w:firstLine="401" w:firstLineChars="190"/>
        <w:rPr>
          <w:rFonts w:hint="eastAsia" w:ascii="宋体" w:cs="宋体"/>
          <w:b/>
          <w:sz w:val="21"/>
          <w:szCs w:val="21"/>
        </w:rPr>
      </w:pPr>
      <w:r>
        <w:rPr>
          <w:rFonts w:hint="eastAsia" w:ascii="宋体" w:cs="宋体"/>
          <w:b/>
          <w:sz w:val="21"/>
          <w:szCs w:val="21"/>
        </w:rPr>
        <w:t>本理财产品自成立日起1个月为建仓期，产品管理人应当在建仓期结束前使各项投资比例符合约定。在产品存续期间如遇市场变化导致各类投资品投资比例暂时超出以上范围，为保护投资者利益，管理人将在流动性受限资产可出售、可转让或者恢复交易的15个工作日内调整至上述比例范围。</w:t>
      </w:r>
    </w:p>
    <w:p>
      <w:pPr>
        <w:pStyle w:val="17"/>
        <w:numPr>
          <w:ilvl w:val="0"/>
          <w:numId w:val="6"/>
        </w:numPr>
        <w:adjustRightInd/>
        <w:spacing w:line="300" w:lineRule="auto"/>
        <w:rPr>
          <w:rFonts w:ascii="宋体" w:cs="宋体"/>
          <w:color w:val="auto"/>
          <w:sz w:val="21"/>
          <w:szCs w:val="21"/>
        </w:rPr>
      </w:pPr>
      <w:r>
        <w:rPr>
          <w:rFonts w:hint="eastAsia" w:ascii="宋体" w:cs="宋体"/>
          <w:color w:val="auto"/>
          <w:sz w:val="21"/>
          <w:szCs w:val="21"/>
        </w:rPr>
        <w:t xml:space="preserve">投资策略：本产品本着稳健投资的理念，基于宏观经济形势、货币政策、各类资产价格走势，采用安全性和流动性优先、优选投资品种，采取久期策略和信用策略来获取稳定收益，并通过开展回购等融入或融出资金，以应对流动性需要和提高资金使用效率。本产品以投资价值分析为基础，宏观与微观、定性与定量相结合，进行主动式管理，产品拟投资的各项资产均进行独立的尽职调查、风险评估、审批准入及后续管理。管理人还将经过市场研判，对投资组合进行动态管理，通过深入分析具体投资品种来获取市场收益。本产品以固定收益类资产配置为主，稳健获取利息性收益，并通过合理市场研判捕捉市场超额收益。 </w:t>
      </w:r>
    </w:p>
    <w:p>
      <w:pPr>
        <w:pStyle w:val="17"/>
        <w:numPr>
          <w:ilvl w:val="0"/>
          <w:numId w:val="7"/>
        </w:numPr>
        <w:spacing w:line="520" w:lineRule="exact"/>
        <w:ind w:firstLine="420" w:firstLineChars="200"/>
        <w:rPr>
          <w:rFonts w:hint="eastAsia" w:ascii="宋体"/>
          <w:color w:val="auto"/>
          <w:sz w:val="21"/>
          <w:szCs w:val="21"/>
        </w:rPr>
      </w:pPr>
      <w:r>
        <w:rPr>
          <w:rFonts w:hint="eastAsia" w:ascii="宋体" w:cs="宋体"/>
          <w:color w:val="auto"/>
          <w:sz w:val="21"/>
          <w:szCs w:val="21"/>
        </w:rPr>
        <w:t>投资模拟情况</w:t>
      </w:r>
    </w:p>
    <w:p>
      <w:pPr>
        <w:pStyle w:val="17"/>
        <w:spacing w:line="520" w:lineRule="exact"/>
        <w:ind w:firstLine="420" w:firstLineChars="200"/>
        <w:rPr>
          <w:rFonts w:hint="eastAsia" w:ascii="宋体"/>
          <w:color w:val="auto"/>
          <w:sz w:val="21"/>
          <w:szCs w:val="21"/>
        </w:rPr>
      </w:pPr>
      <w:r>
        <w:rPr>
          <w:rFonts w:hint="eastAsia" w:ascii="宋体" w:cs="宋体"/>
          <w:color w:val="auto"/>
          <w:sz w:val="21"/>
          <w:szCs w:val="21"/>
        </w:rPr>
        <w:t>按下列投资品的市场收益率或公允估值进行历史模拟，测算收益率如下（</w:t>
      </w:r>
      <w:r>
        <w:rPr>
          <w:rFonts w:hint="eastAsia" w:ascii="宋体" w:cs="宋体"/>
          <w:b/>
          <w:color w:val="auto"/>
          <w:sz w:val="21"/>
          <w:szCs w:val="21"/>
        </w:rPr>
        <w:t>理财产品过往业绩不代表其未来表现，不等于理财产品实际收益，投资须谨慎</w:t>
      </w:r>
      <w:r>
        <w:rPr>
          <w:rFonts w:hint="eastAsia" w:ascii="宋体" w:cs="宋体"/>
          <w:color w:val="auto"/>
          <w:sz w:val="21"/>
          <w:szCs w:val="21"/>
        </w:rPr>
        <w:t>）：</w:t>
      </w:r>
    </w:p>
    <w:tbl>
      <w:tblPr>
        <w:tblStyle w:val="8"/>
        <w:tblW w:w="0" w:type="auto"/>
        <w:jc w:val="center"/>
        <w:tblLayout w:type="fixed"/>
        <w:tblCellMar>
          <w:top w:w="15" w:type="dxa"/>
          <w:left w:w="15" w:type="dxa"/>
          <w:bottom w:w="15" w:type="dxa"/>
          <w:right w:w="15" w:type="dxa"/>
        </w:tblCellMar>
      </w:tblPr>
      <w:tblGrid>
        <w:gridCol w:w="3572"/>
        <w:gridCol w:w="2148"/>
        <w:gridCol w:w="3219"/>
      </w:tblGrid>
      <w:tr>
        <w:tblPrEx>
          <w:tblCellMar>
            <w:top w:w="15" w:type="dxa"/>
            <w:left w:w="15" w:type="dxa"/>
            <w:bottom w:w="15" w:type="dxa"/>
            <w:right w:w="15" w:type="dxa"/>
          </w:tblCellMar>
        </w:tblPrEx>
        <w:trPr>
          <w:trHeight w:val="285" w:hRule="atLeast"/>
          <w:jc w:val="center"/>
        </w:trPr>
        <w:tc>
          <w:tcPr>
            <w:tcW w:w="357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sz w:val="18"/>
                <w:szCs w:val="18"/>
              </w:rPr>
            </w:pPr>
            <w:r>
              <w:rPr>
                <w:rFonts w:hint="eastAsia" w:ascii="宋体" w:hAnsi="宋体" w:cs="宋体"/>
                <w:kern w:val="0"/>
                <w:sz w:val="18"/>
                <w:szCs w:val="18"/>
              </w:rPr>
              <w:t>资产类型</w:t>
            </w:r>
          </w:p>
        </w:tc>
        <w:tc>
          <w:tcPr>
            <w:tcW w:w="21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sz w:val="18"/>
                <w:szCs w:val="18"/>
              </w:rPr>
            </w:pPr>
            <w:r>
              <w:rPr>
                <w:rFonts w:hint="eastAsia" w:ascii="宋体" w:hAnsi="宋体" w:cs="宋体"/>
                <w:kern w:val="0"/>
                <w:sz w:val="18"/>
                <w:szCs w:val="18"/>
              </w:rPr>
              <w:t>收益率</w:t>
            </w:r>
          </w:p>
        </w:tc>
        <w:tc>
          <w:tcPr>
            <w:tcW w:w="32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sz w:val="18"/>
                <w:szCs w:val="18"/>
              </w:rPr>
            </w:pPr>
            <w:r>
              <w:rPr>
                <w:rFonts w:hint="eastAsia" w:ascii="宋体" w:hAnsi="宋体" w:cs="宋体"/>
                <w:kern w:val="0"/>
                <w:sz w:val="18"/>
                <w:szCs w:val="18"/>
              </w:rPr>
              <w:t>权重</w:t>
            </w:r>
          </w:p>
        </w:tc>
      </w:tr>
      <w:tr>
        <w:tblPrEx>
          <w:tblCellMar>
            <w:top w:w="15" w:type="dxa"/>
            <w:left w:w="15" w:type="dxa"/>
            <w:bottom w:w="15" w:type="dxa"/>
            <w:right w:w="15" w:type="dxa"/>
          </w:tblCellMar>
        </w:tblPrEx>
        <w:trPr>
          <w:trHeight w:val="285" w:hRule="atLeast"/>
          <w:jc w:val="center"/>
        </w:trPr>
        <w:tc>
          <w:tcPr>
            <w:tcW w:w="357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sz w:val="18"/>
                <w:szCs w:val="18"/>
              </w:rPr>
            </w:pPr>
            <w:r>
              <w:rPr>
                <w:rFonts w:hint="eastAsia" w:ascii="宋体" w:hAnsi="宋体" w:cs="宋体"/>
                <w:kern w:val="0"/>
                <w:sz w:val="18"/>
                <w:szCs w:val="18"/>
              </w:rPr>
              <w:t>货币市场类工具</w:t>
            </w:r>
          </w:p>
        </w:tc>
        <w:tc>
          <w:tcPr>
            <w:tcW w:w="21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sz w:val="18"/>
                <w:szCs w:val="18"/>
              </w:rPr>
            </w:pPr>
            <w:r>
              <w:rPr>
                <w:rFonts w:hint="eastAsia" w:ascii="宋体" w:hAnsi="宋体" w:cs="宋体"/>
                <w:kern w:val="0"/>
                <w:sz w:val="18"/>
                <w:szCs w:val="18"/>
              </w:rPr>
              <w:t>1.00</w:t>
            </w:r>
            <w:r>
              <w:rPr>
                <w:rFonts w:ascii="宋体" w:hAnsi="宋体" w:cs="宋体"/>
                <w:kern w:val="0"/>
                <w:sz w:val="18"/>
                <w:szCs w:val="18"/>
              </w:rPr>
              <w:t>%-4.</w:t>
            </w:r>
            <w:r>
              <w:rPr>
                <w:rFonts w:hint="eastAsia" w:ascii="宋体" w:hAnsi="宋体" w:cs="宋体"/>
                <w:kern w:val="0"/>
                <w:sz w:val="18"/>
                <w:szCs w:val="18"/>
              </w:rPr>
              <w:t>00</w:t>
            </w:r>
            <w:r>
              <w:rPr>
                <w:rFonts w:ascii="宋体" w:hAnsi="宋体" w:cs="宋体"/>
                <w:kern w:val="0"/>
                <w:sz w:val="18"/>
                <w:szCs w:val="18"/>
              </w:rPr>
              <w:t>%</w:t>
            </w:r>
          </w:p>
        </w:tc>
        <w:tc>
          <w:tcPr>
            <w:tcW w:w="32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sz w:val="18"/>
                <w:szCs w:val="18"/>
              </w:rPr>
            </w:pPr>
            <w:r>
              <w:rPr>
                <w:rFonts w:ascii="宋体" w:hAnsi="宋体" w:cs="宋体"/>
                <w:kern w:val="0"/>
                <w:sz w:val="18"/>
                <w:szCs w:val="18"/>
              </w:rPr>
              <w:t>0-100%</w:t>
            </w:r>
          </w:p>
        </w:tc>
      </w:tr>
      <w:tr>
        <w:tblPrEx>
          <w:tblCellMar>
            <w:top w:w="15" w:type="dxa"/>
            <w:left w:w="15" w:type="dxa"/>
            <w:bottom w:w="15" w:type="dxa"/>
            <w:right w:w="15" w:type="dxa"/>
          </w:tblCellMar>
        </w:tblPrEx>
        <w:trPr>
          <w:trHeight w:val="285" w:hRule="atLeast"/>
          <w:jc w:val="center"/>
        </w:trPr>
        <w:tc>
          <w:tcPr>
            <w:tcW w:w="357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sz w:val="18"/>
                <w:szCs w:val="18"/>
              </w:rPr>
            </w:pPr>
            <w:r>
              <w:rPr>
                <w:rFonts w:hint="eastAsia" w:ascii="宋体" w:hAnsi="宋体" w:cs="宋体"/>
                <w:kern w:val="0"/>
                <w:sz w:val="18"/>
                <w:szCs w:val="18"/>
              </w:rPr>
              <w:t>债券</w:t>
            </w:r>
          </w:p>
        </w:tc>
        <w:tc>
          <w:tcPr>
            <w:tcW w:w="21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sz w:val="18"/>
                <w:szCs w:val="18"/>
              </w:rPr>
            </w:pPr>
            <w:r>
              <w:rPr>
                <w:rFonts w:hint="eastAsia" w:ascii="宋体" w:hAnsi="宋体" w:cs="宋体"/>
                <w:kern w:val="0"/>
                <w:sz w:val="18"/>
                <w:szCs w:val="18"/>
              </w:rPr>
              <w:t>3.00</w:t>
            </w:r>
            <w:r>
              <w:rPr>
                <w:rFonts w:ascii="宋体" w:hAnsi="宋体" w:cs="宋体"/>
                <w:kern w:val="0"/>
                <w:sz w:val="18"/>
                <w:szCs w:val="18"/>
              </w:rPr>
              <w:t>%-5</w:t>
            </w:r>
            <w:r>
              <w:rPr>
                <w:rFonts w:hint="eastAsia" w:ascii="宋体" w:hAnsi="宋体" w:cs="宋体"/>
                <w:kern w:val="0"/>
                <w:sz w:val="18"/>
                <w:szCs w:val="18"/>
              </w:rPr>
              <w:t>.00</w:t>
            </w:r>
            <w:r>
              <w:rPr>
                <w:rFonts w:ascii="宋体" w:hAnsi="宋体" w:cs="宋体"/>
                <w:kern w:val="0"/>
                <w:sz w:val="18"/>
                <w:szCs w:val="18"/>
              </w:rPr>
              <w:t>%</w:t>
            </w:r>
          </w:p>
        </w:tc>
        <w:tc>
          <w:tcPr>
            <w:tcW w:w="32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sz w:val="18"/>
                <w:szCs w:val="18"/>
              </w:rPr>
            </w:pPr>
            <w:r>
              <w:rPr>
                <w:rFonts w:ascii="宋体" w:hAnsi="宋体" w:cs="宋体"/>
                <w:kern w:val="0"/>
                <w:sz w:val="18"/>
                <w:szCs w:val="18"/>
              </w:rPr>
              <w:t>0-100%</w:t>
            </w:r>
          </w:p>
        </w:tc>
      </w:tr>
      <w:tr>
        <w:tblPrEx>
          <w:tblCellMar>
            <w:top w:w="15" w:type="dxa"/>
            <w:left w:w="15" w:type="dxa"/>
            <w:bottom w:w="15" w:type="dxa"/>
            <w:right w:w="15" w:type="dxa"/>
          </w:tblCellMar>
        </w:tblPrEx>
        <w:trPr>
          <w:trHeight w:val="285" w:hRule="atLeast"/>
          <w:jc w:val="center"/>
        </w:trPr>
        <w:tc>
          <w:tcPr>
            <w:tcW w:w="357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sz w:val="18"/>
                <w:szCs w:val="18"/>
              </w:rPr>
            </w:pPr>
            <w:r>
              <w:rPr>
                <w:rFonts w:hint="eastAsia" w:ascii="宋体" w:hAnsi="宋体" w:cs="宋体"/>
                <w:kern w:val="0"/>
                <w:sz w:val="18"/>
                <w:szCs w:val="18"/>
              </w:rPr>
              <w:t>其他符合监管规定的债权类资产</w:t>
            </w:r>
          </w:p>
        </w:tc>
        <w:tc>
          <w:tcPr>
            <w:tcW w:w="21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sz w:val="18"/>
                <w:szCs w:val="18"/>
              </w:rPr>
            </w:pPr>
            <w:r>
              <w:rPr>
                <w:rFonts w:hint="eastAsia" w:ascii="宋体" w:hAnsi="宋体" w:cs="宋体"/>
                <w:kern w:val="0"/>
                <w:sz w:val="18"/>
                <w:szCs w:val="18"/>
              </w:rPr>
              <w:t>5.00</w:t>
            </w:r>
            <w:r>
              <w:rPr>
                <w:rFonts w:ascii="宋体" w:hAnsi="宋体" w:cs="宋体"/>
                <w:kern w:val="0"/>
                <w:sz w:val="18"/>
                <w:szCs w:val="18"/>
              </w:rPr>
              <w:t>%-</w:t>
            </w:r>
            <w:r>
              <w:rPr>
                <w:rFonts w:hint="eastAsia" w:ascii="宋体" w:hAnsi="宋体" w:cs="宋体"/>
                <w:kern w:val="0"/>
                <w:sz w:val="18"/>
                <w:szCs w:val="18"/>
              </w:rPr>
              <w:t>8.00</w:t>
            </w:r>
            <w:r>
              <w:rPr>
                <w:rFonts w:ascii="宋体" w:hAnsi="宋体" w:cs="宋体"/>
                <w:kern w:val="0"/>
                <w:sz w:val="18"/>
                <w:szCs w:val="18"/>
              </w:rPr>
              <w:t>%</w:t>
            </w:r>
          </w:p>
        </w:tc>
        <w:tc>
          <w:tcPr>
            <w:tcW w:w="32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sz w:val="18"/>
                <w:szCs w:val="18"/>
              </w:rPr>
            </w:pPr>
            <w:r>
              <w:rPr>
                <w:rFonts w:ascii="宋体" w:hAnsi="宋体" w:cs="宋体"/>
                <w:kern w:val="0"/>
                <w:sz w:val="18"/>
                <w:szCs w:val="18"/>
              </w:rPr>
              <w:t>0-</w:t>
            </w:r>
            <w:r>
              <w:rPr>
                <w:rFonts w:hint="eastAsia" w:ascii="宋体" w:hAnsi="宋体" w:cs="宋体"/>
                <w:kern w:val="0"/>
                <w:sz w:val="18"/>
                <w:szCs w:val="18"/>
              </w:rPr>
              <w:t>50</w:t>
            </w:r>
            <w:r>
              <w:rPr>
                <w:rFonts w:ascii="宋体" w:hAnsi="宋体" w:cs="宋体"/>
                <w:kern w:val="0"/>
                <w:sz w:val="18"/>
                <w:szCs w:val="18"/>
              </w:rPr>
              <w:t>%</w:t>
            </w:r>
          </w:p>
        </w:tc>
      </w:tr>
      <w:tr>
        <w:tblPrEx>
          <w:tblCellMar>
            <w:top w:w="15" w:type="dxa"/>
            <w:left w:w="15" w:type="dxa"/>
            <w:bottom w:w="15" w:type="dxa"/>
            <w:right w:w="15" w:type="dxa"/>
          </w:tblCellMar>
        </w:tblPrEx>
        <w:trPr>
          <w:trHeight w:val="285" w:hRule="atLeast"/>
          <w:jc w:val="center"/>
        </w:trPr>
        <w:tc>
          <w:tcPr>
            <w:tcW w:w="3572" w:type="dxa"/>
            <w:tcBorders>
              <w:top w:val="single" w:color="000000" w:sz="4" w:space="0"/>
              <w:left w:val="single" w:color="000000" w:sz="4" w:space="0"/>
              <w:right w:val="single" w:color="000000" w:sz="4" w:space="0"/>
            </w:tcBorders>
            <w:vAlign w:val="center"/>
          </w:tcPr>
          <w:p>
            <w:pPr>
              <w:widowControl/>
              <w:jc w:val="left"/>
              <w:textAlignment w:val="center"/>
              <w:rPr>
                <w:rFonts w:ascii="宋体"/>
                <w:sz w:val="18"/>
                <w:szCs w:val="18"/>
              </w:rPr>
            </w:pPr>
            <w:r>
              <w:rPr>
                <w:rFonts w:hint="eastAsia" w:ascii="宋体" w:hAnsi="宋体" w:cs="宋体"/>
                <w:kern w:val="0"/>
                <w:sz w:val="18"/>
                <w:szCs w:val="18"/>
              </w:rPr>
              <w:t>其他符合监管规定的资管计划</w:t>
            </w:r>
          </w:p>
        </w:tc>
        <w:tc>
          <w:tcPr>
            <w:tcW w:w="2148" w:type="dxa"/>
            <w:tcBorders>
              <w:top w:val="single" w:color="000000" w:sz="4" w:space="0"/>
              <w:left w:val="single" w:color="000000" w:sz="4" w:space="0"/>
              <w:right w:val="single" w:color="000000" w:sz="4" w:space="0"/>
            </w:tcBorders>
            <w:vAlign w:val="center"/>
          </w:tcPr>
          <w:p>
            <w:pPr>
              <w:widowControl/>
              <w:jc w:val="center"/>
              <w:textAlignment w:val="center"/>
              <w:rPr>
                <w:rFonts w:ascii="宋体"/>
                <w:sz w:val="18"/>
                <w:szCs w:val="18"/>
              </w:rPr>
            </w:pPr>
            <w:r>
              <w:rPr>
                <w:rFonts w:hint="eastAsia" w:ascii="宋体" w:hAnsi="宋体" w:cs="宋体"/>
                <w:kern w:val="0"/>
                <w:sz w:val="18"/>
                <w:szCs w:val="18"/>
              </w:rPr>
              <w:t>3.00</w:t>
            </w:r>
            <w:r>
              <w:rPr>
                <w:rFonts w:ascii="宋体" w:hAnsi="宋体" w:cs="宋体"/>
                <w:kern w:val="0"/>
                <w:sz w:val="18"/>
                <w:szCs w:val="18"/>
              </w:rPr>
              <w:t>%-</w:t>
            </w:r>
            <w:r>
              <w:rPr>
                <w:rFonts w:hint="eastAsia" w:ascii="宋体" w:hAnsi="宋体" w:cs="宋体"/>
                <w:kern w:val="0"/>
                <w:sz w:val="18"/>
                <w:szCs w:val="18"/>
              </w:rPr>
              <w:t>8.00</w:t>
            </w:r>
            <w:r>
              <w:rPr>
                <w:rFonts w:ascii="宋体" w:hAnsi="宋体" w:cs="宋体"/>
                <w:kern w:val="0"/>
                <w:sz w:val="18"/>
                <w:szCs w:val="18"/>
              </w:rPr>
              <w:t>%</w:t>
            </w:r>
          </w:p>
        </w:tc>
        <w:tc>
          <w:tcPr>
            <w:tcW w:w="3219" w:type="dxa"/>
            <w:tcBorders>
              <w:top w:val="single" w:color="000000" w:sz="4" w:space="0"/>
              <w:left w:val="single" w:color="000000" w:sz="4" w:space="0"/>
              <w:right w:val="single" w:color="000000" w:sz="4" w:space="0"/>
            </w:tcBorders>
            <w:vAlign w:val="center"/>
          </w:tcPr>
          <w:p>
            <w:pPr>
              <w:widowControl/>
              <w:jc w:val="center"/>
              <w:textAlignment w:val="center"/>
              <w:rPr>
                <w:rFonts w:ascii="宋体"/>
                <w:sz w:val="18"/>
                <w:szCs w:val="18"/>
              </w:rPr>
            </w:pPr>
            <w:r>
              <w:rPr>
                <w:rFonts w:ascii="宋体" w:hAnsi="宋体" w:cs="宋体"/>
                <w:kern w:val="0"/>
                <w:sz w:val="18"/>
                <w:szCs w:val="18"/>
              </w:rPr>
              <w:t>0-100%</w:t>
            </w:r>
          </w:p>
        </w:tc>
      </w:tr>
      <w:tr>
        <w:tblPrEx>
          <w:tblCellMar>
            <w:top w:w="15" w:type="dxa"/>
            <w:left w:w="15" w:type="dxa"/>
            <w:bottom w:w="15" w:type="dxa"/>
            <w:right w:w="15" w:type="dxa"/>
          </w:tblCellMar>
        </w:tblPrEx>
        <w:trPr>
          <w:trHeight w:val="285" w:hRule="atLeast"/>
          <w:jc w:val="center"/>
        </w:trPr>
        <w:tc>
          <w:tcPr>
            <w:tcW w:w="357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sz w:val="18"/>
                <w:szCs w:val="18"/>
              </w:rPr>
            </w:pPr>
            <w:r>
              <w:rPr>
                <w:rFonts w:hint="eastAsia" w:ascii="宋体" w:hAnsi="宋体" w:cs="宋体"/>
                <w:kern w:val="0"/>
                <w:sz w:val="18"/>
                <w:szCs w:val="18"/>
              </w:rPr>
              <w:t>历史数据投资组合模拟收益</w:t>
            </w:r>
          </w:p>
        </w:tc>
        <w:tc>
          <w:tcPr>
            <w:tcW w:w="536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sz w:val="18"/>
                <w:szCs w:val="18"/>
              </w:rPr>
            </w:pPr>
            <w:r>
              <w:rPr>
                <w:rFonts w:hint="eastAsia" w:ascii="宋体" w:hAnsi="宋体" w:cs="宋体"/>
                <w:kern w:val="0"/>
                <w:sz w:val="18"/>
                <w:szCs w:val="18"/>
              </w:rPr>
              <w:t>3.00</w:t>
            </w:r>
            <w:r>
              <w:rPr>
                <w:rFonts w:ascii="宋体" w:hAnsi="宋体" w:cs="宋体"/>
                <w:kern w:val="0"/>
                <w:sz w:val="18"/>
                <w:szCs w:val="18"/>
              </w:rPr>
              <w:t>%-</w:t>
            </w:r>
            <w:r>
              <w:rPr>
                <w:rFonts w:hint="eastAsia" w:ascii="宋体" w:hAnsi="宋体" w:cs="宋体"/>
                <w:kern w:val="0"/>
                <w:sz w:val="18"/>
                <w:szCs w:val="18"/>
              </w:rPr>
              <w:t>6.00</w:t>
            </w:r>
            <w:r>
              <w:rPr>
                <w:rFonts w:ascii="宋体" w:hAnsi="宋体" w:cs="宋体"/>
                <w:kern w:val="0"/>
                <w:sz w:val="18"/>
                <w:szCs w:val="18"/>
              </w:rPr>
              <w:t>%</w:t>
            </w:r>
          </w:p>
        </w:tc>
      </w:tr>
      <w:tr>
        <w:tblPrEx>
          <w:tblCellMar>
            <w:top w:w="15" w:type="dxa"/>
            <w:left w:w="15" w:type="dxa"/>
            <w:bottom w:w="15" w:type="dxa"/>
            <w:right w:w="15" w:type="dxa"/>
          </w:tblCellMar>
        </w:tblPrEx>
        <w:trPr>
          <w:trHeight w:val="285" w:hRule="atLeast"/>
          <w:jc w:val="center"/>
        </w:trPr>
        <w:tc>
          <w:tcPr>
            <w:tcW w:w="8939" w:type="dxa"/>
            <w:gridSpan w:val="3"/>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注：如投资品在上述期间无市场成交收益率或公允估值，则市场收益率以市场报价数据为准。</w:t>
            </w:r>
          </w:p>
        </w:tc>
      </w:tr>
    </w:tbl>
    <w:p>
      <w:pPr>
        <w:pStyle w:val="17"/>
        <w:adjustRightInd/>
        <w:spacing w:line="300" w:lineRule="auto"/>
        <w:ind w:left="420"/>
        <w:rPr>
          <w:rFonts w:ascii="宋体" w:cs="宋体"/>
          <w:color w:val="auto"/>
          <w:sz w:val="21"/>
          <w:szCs w:val="21"/>
        </w:rPr>
      </w:pPr>
    </w:p>
    <w:p>
      <w:pPr>
        <w:pStyle w:val="6"/>
        <w:numPr>
          <w:ilvl w:val="0"/>
          <w:numId w:val="2"/>
        </w:numPr>
        <w:spacing w:before="0" w:after="0" w:line="300" w:lineRule="auto"/>
        <w:jc w:val="both"/>
        <w:rPr>
          <w:rFonts w:cs="宋体"/>
          <w:color w:val="000000"/>
          <w:sz w:val="28"/>
          <w:szCs w:val="28"/>
        </w:rPr>
      </w:pPr>
      <w:r>
        <w:rPr>
          <w:rFonts w:hint="eastAsia" w:cs="宋体"/>
          <w:color w:val="000000"/>
          <w:sz w:val="28"/>
          <w:szCs w:val="28"/>
        </w:rPr>
        <w:t>理财产品估值</w:t>
      </w:r>
    </w:p>
    <w:p>
      <w:pPr>
        <w:numPr>
          <w:ilvl w:val="0"/>
          <w:numId w:val="8"/>
        </w:numPr>
        <w:spacing w:line="300" w:lineRule="auto"/>
        <w:rPr>
          <w:rFonts w:ascii="宋体" w:hAnsi="宋体" w:cs="宋体"/>
          <w:color w:val="000000"/>
          <w:kern w:val="0"/>
          <w:szCs w:val="21"/>
        </w:rPr>
      </w:pPr>
      <w:r>
        <w:rPr>
          <w:rFonts w:hint="eastAsia" w:ascii="宋体" w:hAnsi="宋体" w:cs="宋体"/>
          <w:color w:val="000000"/>
          <w:kern w:val="0"/>
          <w:szCs w:val="21"/>
        </w:rPr>
        <w:t>估值日</w:t>
      </w:r>
      <w:r>
        <w:rPr>
          <w:rFonts w:ascii="宋体" w:hAnsi="宋体" w:cs="宋体"/>
          <w:color w:val="000000"/>
          <w:kern w:val="0"/>
          <w:szCs w:val="21"/>
        </w:rPr>
        <w:t xml:space="preserve"> </w:t>
      </w:r>
    </w:p>
    <w:p>
      <w:pPr>
        <w:spacing w:line="300" w:lineRule="auto"/>
        <w:rPr>
          <w:rFonts w:ascii="宋体" w:hAnsi="宋体" w:cs="宋体"/>
          <w:color w:val="000000"/>
          <w:kern w:val="0"/>
          <w:szCs w:val="21"/>
        </w:rPr>
      </w:pPr>
      <w:r>
        <w:rPr>
          <w:rFonts w:hint="eastAsia" w:ascii="宋体" w:hAnsi="宋体" w:cs="宋体"/>
          <w:color w:val="000000"/>
          <w:kern w:val="0"/>
          <w:szCs w:val="21"/>
        </w:rPr>
        <w:t xml:space="preserve">    本理财产品估值日为每个证券交易所的交易日，定期由理财管理人和理财托管人核对估值结果并向投资人披露。（具体日期以管理人公告为准）。</w:t>
      </w:r>
      <w:r>
        <w:rPr>
          <w:rFonts w:ascii="宋体" w:hAnsi="宋体" w:cs="宋体"/>
          <w:color w:val="000000"/>
          <w:kern w:val="0"/>
          <w:szCs w:val="21"/>
        </w:rPr>
        <w:t xml:space="preserve"> </w:t>
      </w:r>
    </w:p>
    <w:p>
      <w:pPr>
        <w:numPr>
          <w:ilvl w:val="0"/>
          <w:numId w:val="8"/>
        </w:numPr>
        <w:spacing w:line="300" w:lineRule="auto"/>
        <w:rPr>
          <w:rFonts w:ascii="宋体" w:hAnsi="宋体" w:cs="宋体"/>
          <w:color w:val="000000"/>
          <w:kern w:val="0"/>
          <w:szCs w:val="21"/>
        </w:rPr>
      </w:pPr>
      <w:r>
        <w:rPr>
          <w:rFonts w:hint="eastAsia" w:ascii="宋体" w:hAnsi="宋体" w:cs="宋体"/>
          <w:color w:val="000000"/>
          <w:kern w:val="0"/>
          <w:szCs w:val="21"/>
        </w:rPr>
        <w:t>估值对象</w:t>
      </w:r>
    </w:p>
    <w:p>
      <w:pPr>
        <w:spacing w:line="300" w:lineRule="auto"/>
        <w:rPr>
          <w:rFonts w:ascii="宋体" w:hAnsi="宋体" w:cs="宋体"/>
          <w:color w:val="000000"/>
          <w:kern w:val="0"/>
          <w:szCs w:val="21"/>
        </w:rPr>
      </w:pPr>
      <w:r>
        <w:rPr>
          <w:rFonts w:hint="eastAsia" w:ascii="宋体" w:hAnsi="宋体" w:cs="宋体"/>
          <w:color w:val="000000"/>
          <w:kern w:val="0"/>
          <w:szCs w:val="21"/>
        </w:rPr>
        <w:t xml:space="preserve">   </w:t>
      </w:r>
      <w:r>
        <w:rPr>
          <w:rFonts w:ascii="宋体" w:hAnsi="宋体" w:cs="宋体"/>
          <w:color w:val="000000"/>
          <w:kern w:val="0"/>
          <w:szCs w:val="21"/>
        </w:rPr>
        <w:t xml:space="preserve"> </w:t>
      </w:r>
      <w:r>
        <w:rPr>
          <w:rFonts w:hint="eastAsia" w:ascii="宋体" w:hAnsi="宋体" w:cs="宋体"/>
          <w:color w:val="000000"/>
          <w:kern w:val="0"/>
          <w:szCs w:val="21"/>
        </w:rPr>
        <w:t>本理财产品所投资的所有资产及负债。</w:t>
      </w:r>
    </w:p>
    <w:p>
      <w:pPr>
        <w:numPr>
          <w:ilvl w:val="0"/>
          <w:numId w:val="8"/>
        </w:numPr>
        <w:spacing w:line="300" w:lineRule="auto"/>
        <w:rPr>
          <w:rFonts w:ascii="宋体" w:hAnsi="宋体" w:cs="宋体"/>
          <w:color w:val="000000"/>
          <w:kern w:val="0"/>
          <w:szCs w:val="21"/>
        </w:rPr>
      </w:pPr>
      <w:r>
        <w:rPr>
          <w:rFonts w:hint="eastAsia" w:ascii="宋体" w:hAnsi="宋体" w:cs="宋体"/>
          <w:color w:val="000000"/>
          <w:kern w:val="0"/>
          <w:szCs w:val="21"/>
        </w:rPr>
        <w:t>估值目的</w:t>
      </w:r>
      <w:r>
        <w:rPr>
          <w:rFonts w:ascii="宋体" w:hAnsi="宋体" w:cs="宋体"/>
          <w:color w:val="000000"/>
          <w:kern w:val="0"/>
          <w:szCs w:val="21"/>
        </w:rPr>
        <w:t xml:space="preserve"> </w:t>
      </w:r>
    </w:p>
    <w:p>
      <w:pPr>
        <w:spacing w:line="300" w:lineRule="auto"/>
        <w:rPr>
          <w:rFonts w:ascii="宋体" w:hAnsi="宋体" w:cs="宋体"/>
          <w:color w:val="000000"/>
          <w:kern w:val="0"/>
          <w:szCs w:val="21"/>
        </w:rPr>
      </w:pPr>
      <w:r>
        <w:rPr>
          <w:rFonts w:hint="eastAsia" w:ascii="宋体" w:hAnsi="宋体" w:cs="宋体"/>
          <w:color w:val="000000"/>
          <w:kern w:val="0"/>
          <w:szCs w:val="21"/>
        </w:rPr>
        <w:t xml:space="preserve">    客观、准确反映理财产品的价值。</w:t>
      </w:r>
      <w:r>
        <w:rPr>
          <w:rFonts w:ascii="宋体" w:hAnsi="宋体" w:cs="宋体"/>
          <w:color w:val="000000"/>
          <w:kern w:val="0"/>
          <w:szCs w:val="21"/>
        </w:rPr>
        <w:t xml:space="preserve"> </w:t>
      </w:r>
    </w:p>
    <w:p>
      <w:pPr>
        <w:numPr>
          <w:ilvl w:val="0"/>
          <w:numId w:val="8"/>
        </w:numPr>
        <w:spacing w:line="300" w:lineRule="auto"/>
        <w:rPr>
          <w:rFonts w:ascii="宋体" w:hAnsi="宋体" w:cs="宋体"/>
          <w:color w:val="000000"/>
          <w:kern w:val="0"/>
          <w:szCs w:val="21"/>
        </w:rPr>
      </w:pPr>
      <w:r>
        <w:rPr>
          <w:rFonts w:hint="eastAsia" w:ascii="宋体" w:hAnsi="宋体" w:cs="宋体"/>
          <w:color w:val="000000"/>
          <w:kern w:val="0"/>
          <w:szCs w:val="21"/>
        </w:rPr>
        <w:t>估值方法</w:t>
      </w:r>
      <w:r>
        <w:rPr>
          <w:rFonts w:ascii="宋体" w:hAnsi="宋体" w:cs="宋体"/>
          <w:color w:val="000000"/>
          <w:kern w:val="0"/>
          <w:szCs w:val="21"/>
        </w:rPr>
        <w:t xml:space="preserve"> </w:t>
      </w:r>
    </w:p>
    <w:p>
      <w:pPr>
        <w:numPr>
          <w:ilvl w:val="0"/>
          <w:numId w:val="9"/>
        </w:numPr>
        <w:tabs>
          <w:tab w:val="left" w:pos="574"/>
        </w:tabs>
        <w:spacing w:line="300" w:lineRule="auto"/>
        <w:rPr>
          <w:rFonts w:ascii="宋体" w:hAnsi="宋体" w:cs="宋体"/>
          <w:color w:val="000000"/>
          <w:kern w:val="0"/>
          <w:szCs w:val="21"/>
        </w:rPr>
      </w:pPr>
      <w:r>
        <w:rPr>
          <w:rFonts w:hint="eastAsia" w:ascii="宋体" w:hAnsi="宋体" w:cs="宋体"/>
          <w:color w:val="000000"/>
          <w:kern w:val="0"/>
          <w:szCs w:val="21"/>
        </w:rPr>
        <w:t>债券的估值方法</w:t>
      </w:r>
      <w:r>
        <w:rPr>
          <w:rFonts w:ascii="宋体" w:hAnsi="宋体" w:cs="宋体"/>
          <w:color w:val="000000"/>
          <w:kern w:val="0"/>
          <w:szCs w:val="21"/>
        </w:rPr>
        <w:t xml:space="preserve"> </w:t>
      </w:r>
    </w:p>
    <w:p>
      <w:pPr>
        <w:numPr>
          <w:ilvl w:val="0"/>
          <w:numId w:val="10"/>
        </w:numPr>
        <w:spacing w:line="300" w:lineRule="auto"/>
        <w:ind w:left="400"/>
        <w:rPr>
          <w:rFonts w:ascii="宋体" w:hAnsi="宋体" w:cs="宋体"/>
          <w:color w:val="000000"/>
          <w:kern w:val="0"/>
          <w:szCs w:val="21"/>
        </w:rPr>
      </w:pPr>
      <w:r>
        <w:rPr>
          <w:rFonts w:hint="eastAsia" w:ascii="宋体" w:hAnsi="宋体" w:cs="宋体"/>
          <w:color w:val="000000"/>
          <w:kern w:val="0"/>
          <w:szCs w:val="21"/>
        </w:rPr>
        <w:t>以持有到期为目的的债券按摊余成本法估值；</w:t>
      </w:r>
    </w:p>
    <w:p>
      <w:pPr>
        <w:numPr>
          <w:ilvl w:val="0"/>
          <w:numId w:val="10"/>
        </w:numPr>
        <w:spacing w:line="300" w:lineRule="auto"/>
        <w:ind w:left="400"/>
        <w:rPr>
          <w:rFonts w:ascii="宋体" w:hAnsi="宋体" w:cs="宋体"/>
          <w:color w:val="000000"/>
          <w:kern w:val="0"/>
          <w:szCs w:val="21"/>
        </w:rPr>
      </w:pPr>
      <w:r>
        <w:rPr>
          <w:rFonts w:hint="eastAsia" w:ascii="宋体" w:hAnsi="宋体" w:cs="宋体"/>
          <w:color w:val="000000"/>
          <w:kern w:val="0"/>
          <w:szCs w:val="21"/>
        </w:rPr>
        <w:t>以交易为目的的债券按市价法估值。</w:t>
      </w:r>
    </w:p>
    <w:p>
      <w:pPr>
        <w:numPr>
          <w:ilvl w:val="0"/>
          <w:numId w:val="9"/>
        </w:numPr>
        <w:spacing w:line="300" w:lineRule="auto"/>
        <w:rPr>
          <w:rFonts w:ascii="宋体" w:hAnsi="宋体" w:cs="宋体"/>
          <w:color w:val="000000"/>
          <w:kern w:val="0"/>
          <w:szCs w:val="21"/>
        </w:rPr>
      </w:pPr>
      <w:r>
        <w:rPr>
          <w:rFonts w:hint="eastAsia" w:ascii="宋体" w:hAnsi="宋体" w:cs="宋体"/>
          <w:color w:val="000000"/>
          <w:kern w:val="0"/>
          <w:szCs w:val="21"/>
        </w:rPr>
        <w:t>货币市场类工具的估值方法</w:t>
      </w:r>
      <w:r>
        <w:rPr>
          <w:rFonts w:ascii="宋体" w:hAnsi="宋体" w:cs="宋体"/>
          <w:color w:val="000000"/>
          <w:kern w:val="0"/>
          <w:szCs w:val="21"/>
        </w:rPr>
        <w:t xml:space="preserve"> </w:t>
      </w:r>
    </w:p>
    <w:p>
      <w:pPr>
        <w:spacing w:line="300" w:lineRule="auto"/>
        <w:rPr>
          <w:rFonts w:ascii="宋体" w:hAnsi="宋体" w:cs="宋体"/>
          <w:color w:val="000000"/>
          <w:kern w:val="0"/>
          <w:szCs w:val="21"/>
        </w:rPr>
      </w:pPr>
      <w:r>
        <w:rPr>
          <w:rFonts w:hint="eastAsia" w:ascii="宋体" w:hAnsi="宋体" w:cs="宋体"/>
          <w:color w:val="000000"/>
          <w:kern w:val="0"/>
          <w:szCs w:val="21"/>
        </w:rPr>
        <w:t xml:space="preserve">    （1）银行存款以本金列示、逐日计提利息；</w:t>
      </w:r>
    </w:p>
    <w:p>
      <w:pPr>
        <w:spacing w:line="300" w:lineRule="auto"/>
        <w:rPr>
          <w:rFonts w:ascii="宋体" w:hAnsi="宋体" w:cs="宋体"/>
          <w:color w:val="000000"/>
          <w:kern w:val="0"/>
          <w:szCs w:val="21"/>
        </w:rPr>
      </w:pPr>
      <w:r>
        <w:rPr>
          <w:rFonts w:hint="eastAsia" w:ascii="宋体" w:hAnsi="宋体" w:cs="宋体"/>
          <w:color w:val="000000"/>
          <w:kern w:val="0"/>
          <w:szCs w:val="21"/>
        </w:rPr>
        <w:t xml:space="preserve">    （2）货币基金以最新基金净值估值；</w:t>
      </w:r>
    </w:p>
    <w:p>
      <w:pPr>
        <w:spacing w:line="300" w:lineRule="auto"/>
        <w:rPr>
          <w:rFonts w:ascii="宋体" w:hAnsi="宋体" w:cs="宋体"/>
          <w:color w:val="000000"/>
          <w:kern w:val="0"/>
          <w:szCs w:val="21"/>
        </w:rPr>
      </w:pPr>
      <w:r>
        <w:rPr>
          <w:rFonts w:hint="eastAsia" w:ascii="宋体" w:hAnsi="宋体" w:cs="宋体"/>
          <w:color w:val="000000"/>
          <w:kern w:val="0"/>
          <w:szCs w:val="21"/>
        </w:rPr>
        <w:t xml:space="preserve">    （3）一年内同业存单或债券以摊余成本法估值。</w:t>
      </w:r>
    </w:p>
    <w:p>
      <w:pPr>
        <w:numPr>
          <w:ilvl w:val="0"/>
          <w:numId w:val="9"/>
        </w:numPr>
        <w:spacing w:line="300" w:lineRule="auto"/>
        <w:rPr>
          <w:rFonts w:ascii="宋体" w:hAnsi="宋体" w:cs="宋体"/>
          <w:color w:val="000000"/>
          <w:kern w:val="0"/>
          <w:szCs w:val="21"/>
        </w:rPr>
      </w:pPr>
      <w:r>
        <w:rPr>
          <w:rFonts w:hint="eastAsia" w:ascii="宋体" w:hAnsi="宋体" w:cs="宋体"/>
          <w:color w:val="000000"/>
          <w:kern w:val="0"/>
          <w:szCs w:val="21"/>
        </w:rPr>
        <w:t>权益类资产的估值方法</w:t>
      </w:r>
    </w:p>
    <w:p>
      <w:pPr>
        <w:spacing w:line="300" w:lineRule="auto"/>
        <w:rPr>
          <w:rFonts w:ascii="宋体" w:hAnsi="宋体" w:cs="宋体"/>
          <w:color w:val="000000"/>
          <w:kern w:val="0"/>
          <w:szCs w:val="21"/>
        </w:rPr>
      </w:pPr>
      <w:r>
        <w:rPr>
          <w:rFonts w:hint="eastAsia" w:ascii="宋体" w:hAnsi="宋体" w:cs="宋体"/>
          <w:color w:val="000000"/>
          <w:kern w:val="0"/>
          <w:szCs w:val="21"/>
        </w:rPr>
        <w:t xml:space="preserve">   （1）上市公司股票按市价估值；</w:t>
      </w:r>
    </w:p>
    <w:p>
      <w:pPr>
        <w:spacing w:line="300" w:lineRule="auto"/>
        <w:rPr>
          <w:rFonts w:hint="eastAsia" w:ascii="宋体" w:hAnsi="宋体" w:cs="宋体"/>
          <w:kern w:val="0"/>
          <w:szCs w:val="21"/>
        </w:rPr>
      </w:pPr>
      <w:r>
        <w:rPr>
          <w:rFonts w:hint="eastAsia" w:ascii="宋体" w:hAnsi="宋体" w:cs="宋体"/>
          <w:kern w:val="0"/>
          <w:szCs w:val="21"/>
        </w:rPr>
        <w:t xml:space="preserve">   （2）其他权益类资产，根据合同采取符合监管要求的公允价值估值方式。</w:t>
      </w:r>
    </w:p>
    <w:p>
      <w:pPr>
        <w:numPr>
          <w:ilvl w:val="0"/>
          <w:numId w:val="9"/>
        </w:numPr>
        <w:spacing w:line="300" w:lineRule="auto"/>
        <w:rPr>
          <w:rFonts w:ascii="宋体" w:hAnsi="宋体" w:cs="宋体"/>
          <w:color w:val="000000"/>
          <w:kern w:val="0"/>
          <w:szCs w:val="21"/>
        </w:rPr>
      </w:pPr>
      <w:r>
        <w:rPr>
          <w:rFonts w:hint="eastAsia" w:ascii="宋体" w:hAnsi="宋体" w:cs="宋体"/>
          <w:color w:val="000000"/>
          <w:kern w:val="0"/>
          <w:szCs w:val="21"/>
        </w:rPr>
        <w:t>非标准化债权资产的估值方法</w:t>
      </w:r>
    </w:p>
    <w:p>
      <w:pPr>
        <w:spacing w:line="300" w:lineRule="auto"/>
        <w:rPr>
          <w:rFonts w:ascii="宋体" w:hAnsi="宋体" w:cs="宋体"/>
          <w:kern w:val="0"/>
          <w:szCs w:val="21"/>
          <w:highlight w:val="yellow"/>
        </w:rPr>
      </w:pPr>
      <w:r>
        <w:rPr>
          <w:rFonts w:hint="eastAsia" w:ascii="宋体" w:hAnsi="宋体" w:cs="宋体"/>
          <w:kern w:val="0"/>
          <w:szCs w:val="21"/>
        </w:rPr>
        <w:t xml:space="preserve">    </w:t>
      </w:r>
      <w:r>
        <w:rPr>
          <w:rFonts w:hint="eastAsia"/>
        </w:rPr>
        <w:t>以收取合同现金流量为目的并持有到期的，按照企业会计准则要求，以摊余成本法计量，否则按照估值技术确定其公允价值。</w:t>
      </w:r>
    </w:p>
    <w:p>
      <w:pPr>
        <w:numPr>
          <w:ilvl w:val="0"/>
          <w:numId w:val="9"/>
        </w:numPr>
        <w:spacing w:line="300" w:lineRule="auto"/>
        <w:rPr>
          <w:rFonts w:ascii="宋体" w:hAnsi="宋体" w:cs="宋体"/>
          <w:color w:val="000000"/>
          <w:kern w:val="0"/>
          <w:szCs w:val="21"/>
        </w:rPr>
      </w:pPr>
      <w:r>
        <w:rPr>
          <w:rFonts w:hint="eastAsia" w:ascii="宋体" w:hAnsi="宋体" w:cs="宋体"/>
          <w:color w:val="000000"/>
          <w:kern w:val="0"/>
          <w:szCs w:val="21"/>
        </w:rPr>
        <w:t>其他资产的估值方法</w:t>
      </w:r>
      <w:r>
        <w:rPr>
          <w:rFonts w:ascii="宋体" w:hAnsi="宋体" w:cs="宋体"/>
          <w:color w:val="000000"/>
          <w:kern w:val="0"/>
          <w:szCs w:val="21"/>
        </w:rPr>
        <w:t xml:space="preserve"> </w:t>
      </w:r>
    </w:p>
    <w:p>
      <w:pPr>
        <w:spacing w:line="300" w:lineRule="auto"/>
        <w:rPr>
          <w:rFonts w:ascii="宋体" w:hAnsi="宋体" w:cs="宋体"/>
          <w:color w:val="000000"/>
          <w:kern w:val="0"/>
          <w:szCs w:val="21"/>
        </w:rPr>
      </w:pPr>
      <w:r>
        <w:rPr>
          <w:rFonts w:hint="eastAsia" w:ascii="宋体" w:hAnsi="宋体" w:cs="宋体"/>
          <w:color w:val="000000"/>
          <w:kern w:val="0"/>
          <w:szCs w:val="21"/>
        </w:rPr>
        <w:t xml:space="preserve">    其他资产存在公允价值的，按照公允价值估值，公允价值不能确定的按取得时的成本用成本法进行估值。</w:t>
      </w:r>
    </w:p>
    <w:p>
      <w:pPr>
        <w:numPr>
          <w:ilvl w:val="0"/>
          <w:numId w:val="9"/>
        </w:numPr>
        <w:spacing w:line="300" w:lineRule="auto"/>
        <w:rPr>
          <w:rFonts w:ascii="宋体" w:hAnsi="宋体" w:cs="宋体"/>
          <w:color w:val="000000"/>
          <w:kern w:val="0"/>
          <w:szCs w:val="21"/>
        </w:rPr>
      </w:pPr>
      <w:r>
        <w:rPr>
          <w:rFonts w:hint="eastAsia" w:ascii="宋体" w:hAnsi="宋体" w:cs="宋体"/>
          <w:color w:val="000000"/>
          <w:kern w:val="0"/>
          <w:szCs w:val="21"/>
        </w:rPr>
        <w:t>其他</w:t>
      </w:r>
      <w:r>
        <w:rPr>
          <w:rFonts w:ascii="宋体" w:hAnsi="宋体" w:cs="宋体"/>
          <w:color w:val="000000"/>
          <w:kern w:val="0"/>
          <w:szCs w:val="21"/>
        </w:rPr>
        <w:t xml:space="preserve"> </w:t>
      </w:r>
    </w:p>
    <w:p>
      <w:pPr>
        <w:spacing w:line="300" w:lineRule="auto"/>
        <w:rPr>
          <w:rFonts w:ascii="宋体" w:hAnsi="宋体" w:cs="宋体"/>
          <w:color w:val="000000"/>
          <w:kern w:val="0"/>
          <w:szCs w:val="21"/>
        </w:rPr>
      </w:pPr>
      <w:r>
        <w:rPr>
          <w:rFonts w:hint="eastAsia" w:ascii="宋体" w:hAnsi="宋体" w:cs="宋体"/>
          <w:color w:val="000000"/>
          <w:kern w:val="0"/>
          <w:szCs w:val="21"/>
        </w:rPr>
        <w:t xml:space="preserve">    国家有最新规定的按其规定进行估值。当理财产品管理人或托管人认为按上述方法对理财产品进行估值不能客观反映其公允价值的，可以在协商一致后变更估值方法，并自协商一致日后执行。该产品估值均以产品公布的估值结果为准。</w:t>
      </w:r>
      <w:r>
        <w:rPr>
          <w:rFonts w:ascii="宋体" w:hAnsi="宋体" w:cs="宋体"/>
          <w:color w:val="000000"/>
          <w:kern w:val="0"/>
          <w:szCs w:val="21"/>
        </w:rPr>
        <w:t xml:space="preserve"> </w:t>
      </w:r>
    </w:p>
    <w:p>
      <w:pPr>
        <w:numPr>
          <w:ilvl w:val="0"/>
          <w:numId w:val="11"/>
        </w:numPr>
        <w:spacing w:line="300" w:lineRule="auto"/>
        <w:rPr>
          <w:rFonts w:ascii="宋体" w:hAnsi="宋体" w:cs="宋体"/>
          <w:color w:val="000000"/>
          <w:kern w:val="0"/>
          <w:szCs w:val="21"/>
        </w:rPr>
      </w:pPr>
      <w:r>
        <w:rPr>
          <w:rFonts w:hint="eastAsia" w:ascii="宋体" w:hAnsi="宋体" w:cs="宋体"/>
          <w:color w:val="000000"/>
          <w:kern w:val="0"/>
          <w:szCs w:val="21"/>
        </w:rPr>
        <w:t>估值差错处理</w:t>
      </w:r>
    </w:p>
    <w:p>
      <w:pPr>
        <w:spacing w:line="300" w:lineRule="auto"/>
        <w:rPr>
          <w:rFonts w:ascii="宋体" w:hAnsi="宋体" w:cs="宋体"/>
          <w:color w:val="000000"/>
          <w:kern w:val="0"/>
          <w:szCs w:val="21"/>
        </w:rPr>
      </w:pPr>
      <w:r>
        <w:rPr>
          <w:rFonts w:hint="eastAsia" w:ascii="宋体" w:hAnsi="宋体" w:cs="宋体"/>
          <w:color w:val="000000"/>
          <w:kern w:val="0"/>
          <w:szCs w:val="21"/>
        </w:rPr>
        <w:t xml:space="preserve">    如理财管理人或理财托管人发现资产估值违反本说明书约定的估值方法、程序及相关法律法规的规定或者未能充分维护理财委托人利益时，应立即通知对方，共同查明原因，协商解决，如经相关各方在平等基础上充分讨论后，仍无法达成一致意见，以理财管理人意见为准。当委托财产估值提交委托人后发现存在错误时，理财管理人和理财托管人应该立即报告理财委托人并及时更正。</w:t>
      </w:r>
    </w:p>
    <w:p>
      <w:pPr>
        <w:numPr>
          <w:ilvl w:val="0"/>
          <w:numId w:val="12"/>
        </w:numPr>
        <w:spacing w:line="300" w:lineRule="auto"/>
        <w:rPr>
          <w:rFonts w:ascii="宋体" w:hAnsi="宋体" w:cs="宋体"/>
          <w:color w:val="000000"/>
          <w:kern w:val="0"/>
          <w:szCs w:val="21"/>
        </w:rPr>
      </w:pPr>
      <w:r>
        <w:rPr>
          <w:rFonts w:hint="eastAsia" w:ascii="宋体" w:hAnsi="宋体" w:cs="宋体"/>
          <w:color w:val="000000"/>
          <w:kern w:val="0"/>
          <w:szCs w:val="21"/>
        </w:rPr>
        <w:t>资产账册的建立</w:t>
      </w:r>
    </w:p>
    <w:p>
      <w:pPr>
        <w:spacing w:line="300" w:lineRule="auto"/>
        <w:rPr>
          <w:rFonts w:ascii="宋体" w:hAnsi="宋体" w:cs="宋体"/>
          <w:color w:val="000000"/>
          <w:kern w:val="0"/>
          <w:szCs w:val="21"/>
        </w:rPr>
      </w:pPr>
      <w:r>
        <w:rPr>
          <w:rFonts w:hint="eastAsia" w:ascii="宋体" w:hAnsi="宋体" w:cs="宋体"/>
          <w:color w:val="000000"/>
          <w:kern w:val="0"/>
          <w:szCs w:val="21"/>
        </w:rPr>
        <w:t xml:space="preserve">    理财管理人和理财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管理人的处理方法为准。</w:t>
      </w:r>
    </w:p>
    <w:p>
      <w:pPr>
        <w:pStyle w:val="6"/>
        <w:numPr>
          <w:ilvl w:val="0"/>
          <w:numId w:val="2"/>
        </w:numPr>
        <w:spacing w:before="0" w:after="0" w:line="300" w:lineRule="auto"/>
        <w:jc w:val="both"/>
        <w:rPr>
          <w:rFonts w:cs="宋体"/>
          <w:color w:val="000000"/>
          <w:sz w:val="28"/>
          <w:szCs w:val="28"/>
        </w:rPr>
      </w:pPr>
      <w:r>
        <w:rPr>
          <w:rFonts w:hint="eastAsia" w:cs="宋体"/>
          <w:color w:val="000000"/>
          <w:sz w:val="28"/>
          <w:szCs w:val="28"/>
        </w:rPr>
        <w:t>理财收益测算</w:t>
      </w:r>
    </w:p>
    <w:p>
      <w:pPr>
        <w:numPr>
          <w:ilvl w:val="0"/>
          <w:numId w:val="13"/>
        </w:numPr>
        <w:spacing w:line="300" w:lineRule="auto"/>
        <w:rPr>
          <w:rFonts w:ascii="宋体" w:hAnsi="宋体" w:cs="宋体"/>
          <w:color w:val="000000"/>
          <w:kern w:val="0"/>
          <w:szCs w:val="21"/>
        </w:rPr>
      </w:pPr>
      <w:r>
        <w:rPr>
          <w:rFonts w:hint="eastAsia" w:ascii="宋体" w:hAnsi="宋体" w:cs="宋体"/>
          <w:color w:val="000000"/>
          <w:kern w:val="0"/>
          <w:szCs w:val="21"/>
        </w:rPr>
        <w:t>计算公式</w:t>
      </w:r>
    </w:p>
    <w:p>
      <w:pPr>
        <w:widowControl/>
        <w:spacing w:line="300" w:lineRule="auto"/>
        <w:contextualSpacing/>
        <w:outlineLvl w:val="0"/>
        <w:rPr>
          <w:rFonts w:ascii="宋体" w:hAnsi="宋体"/>
          <w:color w:val="000000"/>
          <w:szCs w:val="21"/>
        </w:rPr>
      </w:pPr>
      <w:r>
        <w:rPr>
          <w:rFonts w:hint="eastAsia" w:ascii="宋体" w:hAnsi="宋体"/>
          <w:color w:val="000000"/>
          <w:szCs w:val="21"/>
        </w:rPr>
        <w:t xml:space="preserve">    投资者理财收益＝认购份额×到期日（提前终止日）单位净值-浮动管理费（若有）-认购金额</w:t>
      </w:r>
    </w:p>
    <w:p>
      <w:pPr>
        <w:widowControl/>
        <w:spacing w:line="300" w:lineRule="auto"/>
        <w:contextualSpacing/>
        <w:outlineLvl w:val="0"/>
        <w:rPr>
          <w:rFonts w:ascii="宋体" w:hAnsi="宋体"/>
          <w:color w:val="000000"/>
          <w:szCs w:val="21"/>
        </w:rPr>
      </w:pPr>
      <w:r>
        <w:rPr>
          <w:rFonts w:hint="eastAsia" w:ascii="宋体" w:hAnsi="宋体"/>
          <w:color w:val="000000"/>
          <w:szCs w:val="21"/>
        </w:rPr>
        <w:t xml:space="preserve">    认购份额=认购金额/1元。</w:t>
      </w:r>
    </w:p>
    <w:p>
      <w:pPr>
        <w:widowControl/>
        <w:spacing w:line="300" w:lineRule="auto"/>
        <w:contextualSpacing/>
        <w:outlineLvl w:val="0"/>
        <w:rPr>
          <w:rFonts w:ascii="宋体" w:hAnsi="宋体"/>
          <w:color w:val="000000"/>
          <w:szCs w:val="21"/>
        </w:rPr>
      </w:pPr>
      <w:r>
        <w:rPr>
          <w:rFonts w:hint="eastAsia" w:ascii="宋体" w:hAnsi="宋体"/>
          <w:color w:val="000000"/>
          <w:szCs w:val="21"/>
        </w:rPr>
        <w:t xml:space="preserve">    到期日（提前终止日）单位净值为提取相关费用及税费后的单位理财产品份额净值。</w:t>
      </w:r>
    </w:p>
    <w:p>
      <w:pPr>
        <w:numPr>
          <w:ilvl w:val="0"/>
          <w:numId w:val="13"/>
        </w:numPr>
        <w:spacing w:line="300" w:lineRule="auto"/>
        <w:rPr>
          <w:rFonts w:ascii="宋体" w:hAnsi="宋体" w:cs="宋体"/>
          <w:color w:val="000000"/>
          <w:kern w:val="0"/>
          <w:szCs w:val="21"/>
        </w:rPr>
      </w:pPr>
      <w:r>
        <w:rPr>
          <w:rFonts w:hint="eastAsia" w:ascii="宋体" w:hAnsi="宋体" w:cs="宋体"/>
          <w:color w:val="000000"/>
          <w:kern w:val="0"/>
          <w:szCs w:val="21"/>
        </w:rPr>
        <w:t>产品费用</w:t>
      </w:r>
    </w:p>
    <w:p>
      <w:pPr>
        <w:widowControl/>
        <w:numPr>
          <w:ilvl w:val="0"/>
          <w:numId w:val="14"/>
        </w:numPr>
        <w:spacing w:line="300" w:lineRule="auto"/>
        <w:contextualSpacing/>
        <w:outlineLvl w:val="0"/>
        <w:rPr>
          <w:rFonts w:ascii="宋体" w:hAnsi="宋体"/>
          <w:color w:val="000000"/>
          <w:szCs w:val="21"/>
        </w:rPr>
      </w:pPr>
      <w:r>
        <w:rPr>
          <w:rFonts w:hint="eastAsia" w:ascii="宋体" w:hAnsi="宋体"/>
          <w:color w:val="000000"/>
          <w:szCs w:val="21"/>
        </w:rPr>
        <w:t>销售服务费</w:t>
      </w:r>
    </w:p>
    <w:p>
      <w:pPr>
        <w:widowControl/>
        <w:spacing w:line="300" w:lineRule="auto"/>
        <w:contextualSpacing/>
        <w:outlineLvl w:val="0"/>
        <w:rPr>
          <w:rFonts w:hint="eastAsia" w:ascii="宋体" w:hAnsi="宋体"/>
          <w:color w:val="000000"/>
          <w:szCs w:val="21"/>
        </w:rPr>
      </w:pPr>
      <w:r>
        <w:rPr>
          <w:rFonts w:hint="eastAsia" w:ascii="宋体" w:hAnsi="宋体"/>
          <w:color w:val="000000"/>
          <w:szCs w:val="21"/>
        </w:rPr>
        <w:t xml:space="preserve">   B份额理财计划财产的年化销售服务费率为0%， C份额理财计划财产的年化销售服务费率为0.20%,D份额理财计划财产的年化销售服务费率为0.10%,E份额理财计划财产的年化销售服务费率为0%,以B份额为例计算方法如下：    </w:t>
      </w:r>
    </w:p>
    <w:p>
      <w:pPr>
        <w:widowControl/>
        <w:spacing w:line="300" w:lineRule="auto"/>
        <w:ind w:firstLine="420" w:firstLineChars="200"/>
        <w:contextualSpacing/>
        <w:outlineLvl w:val="0"/>
        <w:rPr>
          <w:rFonts w:ascii="宋体" w:hAnsi="宋体"/>
          <w:color w:val="000000"/>
          <w:szCs w:val="21"/>
        </w:rPr>
      </w:pPr>
      <w:r>
        <w:rPr>
          <w:rFonts w:hint="eastAsia" w:ascii="宋体" w:hAnsi="宋体"/>
          <w:color w:val="000000"/>
          <w:szCs w:val="21"/>
        </w:rPr>
        <w:t>H＝E*0％/365</w:t>
      </w:r>
    </w:p>
    <w:p>
      <w:pPr>
        <w:widowControl/>
        <w:spacing w:line="300" w:lineRule="auto"/>
        <w:contextualSpacing/>
        <w:outlineLvl w:val="0"/>
        <w:rPr>
          <w:rFonts w:ascii="宋体" w:hAnsi="宋体"/>
          <w:color w:val="000000"/>
          <w:szCs w:val="21"/>
        </w:rPr>
      </w:pPr>
      <w:r>
        <w:rPr>
          <w:rFonts w:hint="eastAsia" w:ascii="宋体" w:hAnsi="宋体"/>
          <w:color w:val="000000"/>
          <w:szCs w:val="21"/>
        </w:rPr>
        <w:t xml:space="preserve">    H为每日应计提的销售服务费</w:t>
      </w:r>
    </w:p>
    <w:p>
      <w:pPr>
        <w:widowControl/>
        <w:spacing w:line="300" w:lineRule="auto"/>
        <w:contextualSpacing/>
        <w:outlineLvl w:val="0"/>
        <w:rPr>
          <w:rFonts w:ascii="宋体" w:hAnsi="宋体"/>
          <w:color w:val="000000"/>
          <w:szCs w:val="21"/>
        </w:rPr>
      </w:pPr>
      <w:r>
        <w:rPr>
          <w:rFonts w:hint="eastAsia" w:ascii="宋体" w:hAnsi="宋体"/>
          <w:color w:val="000000"/>
          <w:szCs w:val="21"/>
        </w:rPr>
        <w:t xml:space="preserve">    E为B份额</w:t>
      </w:r>
      <w:r>
        <w:rPr>
          <w:rFonts w:hint="eastAsia"/>
        </w:rPr>
        <w:t>前一日资产净值</w:t>
      </w:r>
    </w:p>
    <w:p>
      <w:pPr>
        <w:widowControl/>
        <w:spacing w:line="300" w:lineRule="auto"/>
        <w:ind w:left="400"/>
        <w:contextualSpacing/>
        <w:outlineLvl w:val="0"/>
        <w:rPr>
          <w:rFonts w:ascii="宋体" w:hAnsi="宋体"/>
          <w:color w:val="000000"/>
          <w:szCs w:val="21"/>
        </w:rPr>
      </w:pPr>
      <w:r>
        <w:rPr>
          <w:rFonts w:hint="eastAsia" w:ascii="宋体" w:hAnsi="宋体"/>
          <w:color w:val="000000"/>
          <w:szCs w:val="21"/>
        </w:rPr>
        <w:t>销售服务费原则上按日计提。</w:t>
      </w:r>
    </w:p>
    <w:p>
      <w:pPr>
        <w:widowControl/>
        <w:numPr>
          <w:ilvl w:val="0"/>
          <w:numId w:val="14"/>
        </w:numPr>
        <w:spacing w:line="300" w:lineRule="auto"/>
        <w:contextualSpacing/>
        <w:outlineLvl w:val="0"/>
        <w:rPr>
          <w:rFonts w:ascii="宋体" w:hAnsi="宋体"/>
          <w:color w:val="000000"/>
          <w:szCs w:val="21"/>
        </w:rPr>
      </w:pPr>
      <w:r>
        <w:rPr>
          <w:rFonts w:hint="eastAsia" w:ascii="宋体" w:hAnsi="宋体"/>
          <w:color w:val="000000"/>
          <w:szCs w:val="21"/>
        </w:rPr>
        <w:t>托管费</w:t>
      </w:r>
    </w:p>
    <w:p>
      <w:pPr>
        <w:widowControl/>
        <w:spacing w:line="300" w:lineRule="auto"/>
        <w:contextualSpacing/>
        <w:outlineLvl w:val="0"/>
        <w:rPr>
          <w:rFonts w:ascii="宋体" w:hAnsi="宋体"/>
          <w:color w:val="000000"/>
          <w:szCs w:val="21"/>
        </w:rPr>
      </w:pPr>
      <w:r>
        <w:rPr>
          <w:rFonts w:hint="eastAsia" w:ascii="宋体" w:hAnsi="宋体"/>
          <w:color w:val="000000"/>
          <w:szCs w:val="21"/>
        </w:rPr>
        <w:t xml:space="preserve">    理财计划财产的年化托管费为0.025%，以B份额为例计算方法如下：</w:t>
      </w:r>
    </w:p>
    <w:p>
      <w:pPr>
        <w:widowControl/>
        <w:spacing w:line="300" w:lineRule="auto"/>
        <w:contextualSpacing/>
        <w:outlineLvl w:val="0"/>
        <w:rPr>
          <w:rFonts w:ascii="宋体" w:hAnsi="宋体"/>
          <w:color w:val="000000"/>
          <w:szCs w:val="21"/>
        </w:rPr>
      </w:pPr>
      <w:r>
        <w:rPr>
          <w:rFonts w:hint="eastAsia" w:ascii="宋体" w:hAnsi="宋体"/>
          <w:color w:val="000000"/>
          <w:szCs w:val="21"/>
        </w:rPr>
        <w:t xml:space="preserve">    H＝E*0.025％/365</w:t>
      </w:r>
    </w:p>
    <w:p>
      <w:pPr>
        <w:widowControl/>
        <w:spacing w:line="300" w:lineRule="auto"/>
        <w:contextualSpacing/>
        <w:outlineLvl w:val="0"/>
        <w:rPr>
          <w:rFonts w:ascii="宋体" w:hAnsi="宋体"/>
          <w:color w:val="000000"/>
          <w:szCs w:val="21"/>
        </w:rPr>
      </w:pPr>
      <w:r>
        <w:rPr>
          <w:rFonts w:hint="eastAsia" w:ascii="宋体" w:hAnsi="宋体"/>
          <w:color w:val="000000"/>
          <w:szCs w:val="21"/>
        </w:rPr>
        <w:t xml:space="preserve">    H为每日应计提的托管费</w:t>
      </w:r>
    </w:p>
    <w:p>
      <w:pPr>
        <w:widowControl/>
        <w:spacing w:line="300" w:lineRule="auto"/>
        <w:ind w:firstLine="420"/>
        <w:contextualSpacing/>
        <w:outlineLvl w:val="0"/>
        <w:rPr>
          <w:rFonts w:hint="eastAsia" w:ascii="宋体" w:hAnsi="宋体"/>
          <w:color w:val="000000"/>
          <w:szCs w:val="21"/>
        </w:rPr>
      </w:pPr>
      <w:r>
        <w:rPr>
          <w:rFonts w:hint="eastAsia" w:ascii="宋体" w:hAnsi="宋体"/>
          <w:color w:val="000000"/>
          <w:szCs w:val="21"/>
        </w:rPr>
        <w:t>E为B份额</w:t>
      </w:r>
      <w:r>
        <w:rPr>
          <w:rFonts w:hint="eastAsia"/>
        </w:rPr>
        <w:t>前一日资产净值</w:t>
      </w:r>
      <w:r>
        <w:rPr>
          <w:rFonts w:hint="eastAsia" w:ascii="宋体" w:hAnsi="宋体"/>
          <w:color w:val="000000"/>
          <w:szCs w:val="21"/>
        </w:rPr>
        <w:t xml:space="preserve">    </w:t>
      </w:r>
    </w:p>
    <w:p>
      <w:pPr>
        <w:widowControl/>
        <w:spacing w:line="300" w:lineRule="auto"/>
        <w:ind w:firstLine="420"/>
        <w:contextualSpacing/>
        <w:outlineLvl w:val="0"/>
        <w:rPr>
          <w:rFonts w:ascii="宋体" w:hAnsi="宋体"/>
          <w:color w:val="000000"/>
          <w:szCs w:val="21"/>
        </w:rPr>
      </w:pPr>
      <w:r>
        <w:rPr>
          <w:rFonts w:hint="eastAsia" w:ascii="宋体" w:hAnsi="宋体"/>
          <w:color w:val="000000"/>
          <w:szCs w:val="21"/>
        </w:rPr>
        <w:t>托管费原则上按日计提。</w:t>
      </w:r>
    </w:p>
    <w:p>
      <w:pPr>
        <w:widowControl/>
        <w:numPr>
          <w:ilvl w:val="0"/>
          <w:numId w:val="14"/>
        </w:numPr>
        <w:spacing w:line="300" w:lineRule="auto"/>
        <w:contextualSpacing/>
        <w:outlineLvl w:val="0"/>
        <w:rPr>
          <w:rFonts w:ascii="宋体" w:hAnsi="宋体"/>
          <w:szCs w:val="21"/>
        </w:rPr>
      </w:pPr>
      <w:r>
        <w:rPr>
          <w:rFonts w:hint="eastAsia" w:ascii="宋体" w:hAnsi="宋体"/>
          <w:color w:val="000000"/>
          <w:szCs w:val="21"/>
        </w:rPr>
        <w:t>固定管理费</w:t>
      </w:r>
    </w:p>
    <w:p>
      <w:pPr>
        <w:widowControl/>
        <w:spacing w:line="300" w:lineRule="auto"/>
        <w:contextualSpacing/>
        <w:outlineLvl w:val="0"/>
        <w:rPr>
          <w:rFonts w:hint="eastAsia" w:ascii="宋体" w:hAnsi="宋体"/>
          <w:color w:val="000000"/>
          <w:szCs w:val="21"/>
        </w:rPr>
      </w:pPr>
      <w:r>
        <w:rPr>
          <w:rFonts w:hint="eastAsia" w:ascii="宋体" w:hAnsi="宋体"/>
          <w:color w:val="000000"/>
          <w:szCs w:val="21"/>
        </w:rPr>
        <w:t xml:space="preserve">    B份额理财计划财产的年化固定管理费率为0.40%，C份额理财计划财产的年化固定管理费率为0.40%，D份额理财计划财产的年化固定管理费率为0.40%，E份额理财计划财产的年化固定管理费率为0.30%，以B份额为例计算方法如下：</w:t>
      </w:r>
    </w:p>
    <w:p>
      <w:pPr>
        <w:widowControl/>
        <w:spacing w:line="300" w:lineRule="auto"/>
        <w:contextualSpacing/>
        <w:outlineLvl w:val="0"/>
        <w:rPr>
          <w:rFonts w:ascii="宋体" w:hAnsi="宋体"/>
          <w:color w:val="000000"/>
          <w:szCs w:val="21"/>
        </w:rPr>
      </w:pPr>
      <w:r>
        <w:rPr>
          <w:rFonts w:hint="eastAsia" w:ascii="宋体" w:hAnsi="宋体"/>
          <w:color w:val="000000"/>
          <w:szCs w:val="21"/>
        </w:rPr>
        <w:t xml:space="preserve">    H＝E*0.40％/365</w:t>
      </w:r>
    </w:p>
    <w:p>
      <w:pPr>
        <w:widowControl/>
        <w:spacing w:line="300" w:lineRule="auto"/>
        <w:contextualSpacing/>
        <w:outlineLvl w:val="0"/>
        <w:rPr>
          <w:rFonts w:ascii="宋体" w:hAnsi="宋体"/>
          <w:color w:val="000000"/>
          <w:szCs w:val="21"/>
        </w:rPr>
      </w:pPr>
      <w:r>
        <w:rPr>
          <w:rFonts w:hint="eastAsia" w:ascii="宋体" w:hAnsi="宋体"/>
          <w:color w:val="000000"/>
          <w:szCs w:val="21"/>
        </w:rPr>
        <w:t xml:space="preserve">    H为每日应计提的固定管理费</w:t>
      </w:r>
    </w:p>
    <w:p>
      <w:pPr>
        <w:widowControl/>
        <w:spacing w:line="300" w:lineRule="auto"/>
        <w:ind w:firstLine="420"/>
        <w:contextualSpacing/>
        <w:outlineLvl w:val="0"/>
        <w:rPr>
          <w:rFonts w:hint="eastAsia"/>
        </w:rPr>
      </w:pPr>
      <w:r>
        <w:rPr>
          <w:rFonts w:hint="eastAsia" w:ascii="宋体" w:hAnsi="宋体"/>
          <w:color w:val="000000"/>
          <w:szCs w:val="21"/>
        </w:rPr>
        <w:t>E为B份额</w:t>
      </w:r>
      <w:r>
        <w:rPr>
          <w:rFonts w:hint="eastAsia"/>
        </w:rPr>
        <w:t>前一日资产净值</w:t>
      </w:r>
    </w:p>
    <w:p>
      <w:pPr>
        <w:widowControl/>
        <w:spacing w:line="300" w:lineRule="auto"/>
        <w:ind w:firstLine="420"/>
        <w:contextualSpacing/>
        <w:outlineLvl w:val="0"/>
        <w:rPr>
          <w:rFonts w:hint="eastAsia" w:ascii="宋体" w:hAnsi="宋体"/>
          <w:color w:val="000000"/>
          <w:szCs w:val="21"/>
        </w:rPr>
      </w:pPr>
      <w:r>
        <w:rPr>
          <w:rFonts w:hint="eastAsia" w:ascii="宋体" w:hAnsi="宋体"/>
          <w:color w:val="000000"/>
          <w:szCs w:val="21"/>
        </w:rPr>
        <w:t>固定管理费原则上按日计提，</w:t>
      </w:r>
      <w:r>
        <w:rPr>
          <w:rFonts w:hint="eastAsia" w:ascii="宋体" w:hAnsi="宋体"/>
          <w:szCs w:val="21"/>
        </w:rPr>
        <w:t>理财计划实际运作结果不达业绩比较基准时，管理人有权减免固定管理费。</w:t>
      </w:r>
    </w:p>
    <w:p>
      <w:pPr>
        <w:widowControl/>
        <w:numPr>
          <w:ilvl w:val="0"/>
          <w:numId w:val="14"/>
        </w:numPr>
        <w:spacing w:line="300" w:lineRule="auto"/>
        <w:contextualSpacing/>
        <w:outlineLvl w:val="0"/>
        <w:rPr>
          <w:rFonts w:ascii="宋体" w:hAnsi="宋体"/>
          <w:color w:val="000000"/>
          <w:szCs w:val="21"/>
        </w:rPr>
      </w:pPr>
      <w:r>
        <w:rPr>
          <w:rFonts w:hint="eastAsia" w:ascii="宋体" w:hAnsi="宋体"/>
          <w:color w:val="000000"/>
          <w:szCs w:val="21"/>
        </w:rPr>
        <w:t>浮动管理费</w:t>
      </w:r>
    </w:p>
    <w:p>
      <w:pPr>
        <w:widowControl/>
        <w:spacing w:line="300" w:lineRule="auto"/>
        <w:contextualSpacing/>
        <w:outlineLvl w:val="0"/>
        <w:rPr>
          <w:rFonts w:ascii="宋体" w:hAnsi="宋体" w:cs="宋体"/>
          <w:bCs/>
          <w:color w:val="000000"/>
          <w:szCs w:val="21"/>
        </w:rPr>
      </w:pPr>
      <w:r>
        <w:rPr>
          <w:rFonts w:hint="eastAsia" w:ascii="宋体" w:hAnsi="宋体"/>
          <w:color w:val="000000"/>
          <w:szCs w:val="21"/>
        </w:rPr>
        <w:t xml:space="preserve">    理财管理人根据理财计划投资情况计算浮动管理费，</w:t>
      </w:r>
      <w:r>
        <w:rPr>
          <w:rFonts w:hint="eastAsia" w:ascii="宋体" w:hAnsi="宋体" w:cs="宋体"/>
          <w:bCs/>
          <w:color w:val="000000"/>
          <w:szCs w:val="21"/>
        </w:rPr>
        <w:t>本理财产品到期日（提前终止日）</w:t>
      </w:r>
      <w:r>
        <w:rPr>
          <w:rFonts w:hint="eastAsia" w:ascii="宋体" w:hAnsi="宋体" w:cs="宋体"/>
          <w:color w:val="000000"/>
          <w:szCs w:val="21"/>
        </w:rPr>
        <w:t>的折合年化收益率</w:t>
      </w:r>
      <w:r>
        <w:rPr>
          <w:rFonts w:hint="eastAsia" w:ascii="宋体" w:hAnsi="宋体"/>
          <w:color w:val="000000"/>
          <w:szCs w:val="21"/>
        </w:rPr>
        <w:t>超过业绩比较基准的部分管理人</w:t>
      </w:r>
      <w:r>
        <w:rPr>
          <w:rFonts w:hint="eastAsia" w:ascii="宋体" w:hAnsi="宋体"/>
          <w:b/>
          <w:color w:val="000000"/>
          <w:szCs w:val="21"/>
        </w:rPr>
        <w:t>提取80%作为浮动管理费</w:t>
      </w:r>
      <w:r>
        <w:rPr>
          <w:rFonts w:hint="eastAsia" w:ascii="宋体" w:hAnsi="宋体"/>
          <w:color w:val="000000"/>
          <w:szCs w:val="21"/>
        </w:rPr>
        <w:t>。</w:t>
      </w:r>
      <w:r>
        <w:rPr>
          <w:rFonts w:hint="eastAsia" w:ascii="宋体" w:hAnsi="宋体" w:cs="宋体"/>
          <w:bCs/>
          <w:color w:val="000000"/>
          <w:szCs w:val="21"/>
        </w:rPr>
        <w:t>本理财产品到期日（提前终止日）</w:t>
      </w:r>
      <w:r>
        <w:rPr>
          <w:rFonts w:hint="eastAsia" w:ascii="宋体" w:hAnsi="宋体" w:cs="宋体"/>
          <w:color w:val="000000"/>
          <w:szCs w:val="21"/>
        </w:rPr>
        <w:t>的折合年化收益率</w:t>
      </w:r>
      <w:r>
        <w:rPr>
          <w:rFonts w:hint="eastAsia" w:ascii="宋体" w:hAnsi="宋体" w:cs="宋体"/>
          <w:bCs/>
          <w:color w:val="000000"/>
          <w:szCs w:val="21"/>
        </w:rPr>
        <w:t>若小于或等于业绩比较基准则不收取浮动管理费。</w:t>
      </w:r>
      <w:r>
        <w:rPr>
          <w:rFonts w:hint="eastAsia" w:ascii="宋体" w:hAnsi="宋体"/>
          <w:color w:val="000000"/>
          <w:szCs w:val="21"/>
        </w:rPr>
        <w:t>以B份额为例</w:t>
      </w:r>
      <w:r>
        <w:rPr>
          <w:rFonts w:hint="eastAsia" w:ascii="宋体" w:hAnsi="宋体" w:cs="宋体"/>
          <w:bCs/>
          <w:color w:val="000000"/>
          <w:szCs w:val="21"/>
        </w:rPr>
        <w:t>计算方法如下：</w:t>
      </w:r>
    </w:p>
    <w:p>
      <w:pPr>
        <w:widowControl/>
        <w:spacing w:line="300" w:lineRule="auto"/>
        <w:contextualSpacing/>
        <w:outlineLvl w:val="0"/>
        <w:rPr>
          <w:rFonts w:ascii="宋体" w:hAnsi="宋体"/>
          <w:color w:val="000000"/>
          <w:szCs w:val="21"/>
        </w:rPr>
      </w:pPr>
      <w:r>
        <w:rPr>
          <w:rFonts w:hint="eastAsia" w:ascii="宋体" w:hAnsi="宋体"/>
          <w:color w:val="000000"/>
          <w:szCs w:val="21"/>
        </w:rPr>
        <w:t xml:space="preserve">    H＝E*[NAV-1.00*(1+R×D/365)] ×80％</w:t>
      </w:r>
    </w:p>
    <w:p>
      <w:pPr>
        <w:widowControl/>
        <w:spacing w:line="300" w:lineRule="auto"/>
        <w:ind w:firstLine="408"/>
        <w:contextualSpacing/>
        <w:outlineLvl w:val="0"/>
        <w:rPr>
          <w:rFonts w:ascii="宋体" w:hAnsi="宋体"/>
          <w:color w:val="000000"/>
          <w:szCs w:val="21"/>
        </w:rPr>
      </w:pPr>
      <w:r>
        <w:rPr>
          <w:rFonts w:hint="eastAsia" w:ascii="宋体" w:hAnsi="宋体"/>
          <w:color w:val="000000"/>
          <w:szCs w:val="21"/>
        </w:rPr>
        <w:t>H为B份额产品到期（提前终止）时应收取的浮动管理费NAV为到期日（提前终止日）扣除固定管理费、托管费、销售服务费（如有）等固定费用后单位净值</w:t>
      </w:r>
    </w:p>
    <w:p>
      <w:pPr>
        <w:widowControl/>
        <w:spacing w:line="300" w:lineRule="auto"/>
        <w:ind w:firstLine="405"/>
        <w:contextualSpacing/>
        <w:outlineLvl w:val="0"/>
        <w:rPr>
          <w:rFonts w:hint="eastAsia" w:ascii="宋体" w:hAnsi="宋体"/>
          <w:color w:val="000000"/>
          <w:szCs w:val="21"/>
        </w:rPr>
      </w:pPr>
      <w:r>
        <w:rPr>
          <w:rFonts w:hint="eastAsia" w:ascii="宋体" w:hAnsi="宋体"/>
          <w:color w:val="000000"/>
          <w:szCs w:val="21"/>
        </w:rPr>
        <w:t>E为B份额</w:t>
      </w:r>
      <w:r>
        <w:rPr>
          <w:rFonts w:hint="eastAsia"/>
        </w:rPr>
        <w:t>存续份额</w:t>
      </w:r>
      <w:r>
        <w:rPr>
          <w:rFonts w:hint="eastAsia" w:ascii="宋体" w:hAnsi="宋体"/>
          <w:color w:val="000000"/>
          <w:szCs w:val="21"/>
        </w:rPr>
        <w:t xml:space="preserve">    </w:t>
      </w:r>
    </w:p>
    <w:p>
      <w:pPr>
        <w:widowControl/>
        <w:spacing w:line="300" w:lineRule="auto"/>
        <w:ind w:firstLine="405"/>
        <w:contextualSpacing/>
        <w:outlineLvl w:val="0"/>
        <w:rPr>
          <w:rFonts w:ascii="宋体" w:hAnsi="宋体"/>
          <w:color w:val="000000"/>
          <w:szCs w:val="21"/>
        </w:rPr>
      </w:pPr>
      <w:r>
        <w:rPr>
          <w:rFonts w:hint="eastAsia" w:ascii="宋体" w:hAnsi="宋体"/>
          <w:color w:val="000000"/>
          <w:szCs w:val="21"/>
        </w:rPr>
        <w:t>R为B份额业绩比较基准</w:t>
      </w:r>
    </w:p>
    <w:p>
      <w:pPr>
        <w:widowControl/>
        <w:spacing w:line="300" w:lineRule="auto"/>
        <w:contextualSpacing/>
        <w:outlineLvl w:val="0"/>
        <w:rPr>
          <w:rFonts w:ascii="宋体" w:hAnsi="宋体"/>
          <w:color w:val="000000"/>
          <w:szCs w:val="21"/>
        </w:rPr>
      </w:pPr>
      <w:r>
        <w:rPr>
          <w:rFonts w:hint="eastAsia" w:ascii="宋体" w:hAnsi="宋体"/>
          <w:color w:val="000000"/>
          <w:szCs w:val="21"/>
        </w:rPr>
        <w:t xml:space="preserve">    D为本产品实际理财期限</w:t>
      </w:r>
    </w:p>
    <w:p>
      <w:pPr>
        <w:numPr>
          <w:ilvl w:val="0"/>
          <w:numId w:val="13"/>
        </w:numPr>
        <w:spacing w:line="300" w:lineRule="auto"/>
        <w:rPr>
          <w:rFonts w:ascii="宋体" w:hAnsi="宋体" w:cs="宋体"/>
          <w:color w:val="000000"/>
          <w:kern w:val="0"/>
          <w:szCs w:val="21"/>
        </w:rPr>
      </w:pPr>
      <w:r>
        <w:rPr>
          <w:rFonts w:hint="eastAsia" w:ascii="宋体" w:hAnsi="宋体" w:cs="宋体"/>
          <w:color w:val="000000"/>
          <w:kern w:val="0"/>
          <w:szCs w:val="21"/>
        </w:rPr>
        <w:t>示例说明</w:t>
      </w:r>
    </w:p>
    <w:p>
      <w:pPr>
        <w:widowControl/>
        <w:spacing w:line="300" w:lineRule="auto"/>
        <w:contextualSpacing/>
        <w:outlineLvl w:val="0"/>
        <w:rPr>
          <w:rFonts w:ascii="宋体" w:hAnsi="宋体"/>
          <w:b/>
          <w:bCs/>
          <w:color w:val="000000"/>
          <w:szCs w:val="21"/>
        </w:rPr>
      </w:pPr>
      <w:r>
        <w:rPr>
          <w:rFonts w:hint="eastAsia" w:ascii="宋体" w:hAnsi="宋体"/>
          <w:b/>
          <w:bCs/>
          <w:color w:val="000000"/>
          <w:szCs w:val="21"/>
        </w:rPr>
        <w:t>示例一：扣除托管费、固定管理费、销售服务费（如有）后，投资收益率超越业绩比较基准。</w:t>
      </w:r>
    </w:p>
    <w:p>
      <w:pPr>
        <w:widowControl/>
        <w:spacing w:line="300" w:lineRule="auto"/>
        <w:contextualSpacing/>
        <w:outlineLvl w:val="0"/>
        <w:rPr>
          <w:rFonts w:ascii="宋体" w:hAnsi="宋体"/>
          <w:color w:val="000000"/>
          <w:szCs w:val="21"/>
        </w:rPr>
      </w:pPr>
      <w:r>
        <w:rPr>
          <w:rFonts w:hint="eastAsia" w:ascii="宋体" w:hAnsi="宋体"/>
          <w:color w:val="000000"/>
          <w:szCs w:val="21"/>
        </w:rPr>
        <w:t xml:space="preserve">    以某投资者投资10万元产品B份额为例，假设购买时产品净值为1.00元，折算份额为100,000.00份,假设理财期限为362天。假设产品业绩比较基准为4.50%，假设管理人提取超过业绩基准部分的80%作为浮动管理费，到期时扣除托管费、固定管理费、销售服务费（如有）后，如产品净值为1.0615，此时，(1.0615/1.00-1)×365/362=6.20%&gt;4.50%，即投资收益超越业绩比较基准，则投资管理人对超过业绩比较基准部分收益收取浮动管理费，浮动管理费为：</w:t>
      </w:r>
    </w:p>
    <w:p>
      <w:pPr>
        <w:widowControl/>
        <w:spacing w:line="300" w:lineRule="auto"/>
        <w:ind w:firstLine="420" w:firstLineChars="200"/>
        <w:contextualSpacing/>
        <w:outlineLvl w:val="0"/>
        <w:rPr>
          <w:rFonts w:ascii="宋体" w:hAnsi="宋体"/>
          <w:color w:val="000000"/>
          <w:szCs w:val="21"/>
        </w:rPr>
      </w:pPr>
      <w:r>
        <w:rPr>
          <w:rFonts w:hint="eastAsia" w:ascii="宋体" w:hAnsi="宋体"/>
          <w:color w:val="000000"/>
          <w:szCs w:val="21"/>
        </w:rPr>
        <w:t>100,000.00×[1.0615-1.00×(1+4.50%×362/365)]×80%=</w:t>
      </w:r>
      <w:r>
        <w:t xml:space="preserve"> </w:t>
      </w:r>
      <w:r>
        <w:rPr>
          <w:rFonts w:ascii="宋体" w:hAnsi="宋体"/>
          <w:color w:val="000000"/>
          <w:szCs w:val="21"/>
        </w:rPr>
        <w:t>1,349.59</w:t>
      </w:r>
      <w:r>
        <w:rPr>
          <w:rFonts w:hint="eastAsia" w:ascii="宋体" w:hAnsi="宋体"/>
          <w:color w:val="000000"/>
          <w:szCs w:val="21"/>
        </w:rPr>
        <w:t>（元）</w:t>
      </w:r>
    </w:p>
    <w:p>
      <w:pPr>
        <w:widowControl/>
        <w:spacing w:line="300" w:lineRule="auto"/>
        <w:ind w:firstLine="420" w:firstLineChars="200"/>
        <w:contextualSpacing/>
        <w:outlineLvl w:val="0"/>
        <w:rPr>
          <w:rFonts w:ascii="宋体" w:hAnsi="宋体"/>
          <w:color w:val="000000"/>
          <w:szCs w:val="21"/>
        </w:rPr>
      </w:pPr>
      <w:r>
        <w:rPr>
          <w:rFonts w:hint="eastAsia" w:ascii="宋体" w:hAnsi="宋体"/>
          <w:color w:val="000000"/>
          <w:szCs w:val="21"/>
        </w:rPr>
        <w:t>扣除浮动管理费后，投资者最终收益为：</w:t>
      </w:r>
    </w:p>
    <w:p>
      <w:pPr>
        <w:widowControl/>
        <w:spacing w:line="300" w:lineRule="auto"/>
        <w:ind w:firstLine="420" w:firstLineChars="200"/>
        <w:contextualSpacing/>
        <w:outlineLvl w:val="0"/>
        <w:rPr>
          <w:rFonts w:ascii="宋体" w:hAnsi="宋体"/>
          <w:color w:val="000000"/>
          <w:szCs w:val="21"/>
        </w:rPr>
      </w:pPr>
      <w:r>
        <w:rPr>
          <w:rFonts w:hint="eastAsia" w:ascii="宋体" w:hAnsi="宋体"/>
          <w:color w:val="000000"/>
          <w:szCs w:val="21"/>
        </w:rPr>
        <w:t>100,000.00×（1.0615-1.00）-</w:t>
      </w:r>
      <w:r>
        <w:t xml:space="preserve"> </w:t>
      </w:r>
      <w:r>
        <w:rPr>
          <w:rFonts w:ascii="宋体" w:hAnsi="宋体"/>
          <w:color w:val="000000"/>
          <w:szCs w:val="21"/>
        </w:rPr>
        <w:t xml:space="preserve">1,349.59 </w:t>
      </w:r>
      <w:r>
        <w:rPr>
          <w:rFonts w:hint="eastAsia" w:ascii="宋体" w:hAnsi="宋体"/>
          <w:color w:val="000000"/>
          <w:szCs w:val="21"/>
        </w:rPr>
        <w:t>=</w:t>
      </w:r>
      <w:r>
        <w:rPr>
          <w:rFonts w:ascii="宋体" w:hAnsi="宋体"/>
          <w:color w:val="000000"/>
          <w:szCs w:val="21"/>
        </w:rPr>
        <w:t>4,800.41</w:t>
      </w:r>
      <w:r>
        <w:rPr>
          <w:rFonts w:hint="eastAsia" w:ascii="宋体" w:hAnsi="宋体"/>
          <w:color w:val="000000"/>
          <w:szCs w:val="21"/>
        </w:rPr>
        <w:t>（元），产品到期时，投资者获得的实际收益相当于达到年化收益率水平为：</w:t>
      </w:r>
      <w:r>
        <w:rPr>
          <w:rFonts w:ascii="宋体" w:hAnsi="宋体"/>
          <w:color w:val="000000"/>
          <w:szCs w:val="21"/>
        </w:rPr>
        <w:t>4,800.41</w:t>
      </w:r>
      <w:r>
        <w:rPr>
          <w:rFonts w:hint="eastAsia" w:ascii="宋体" w:hAnsi="宋体"/>
          <w:color w:val="000000"/>
          <w:szCs w:val="21"/>
        </w:rPr>
        <w:t>/100,000.00×365/362=</w:t>
      </w:r>
      <w:r>
        <w:rPr>
          <w:rFonts w:ascii="宋体" w:hAnsi="宋体"/>
          <w:color w:val="000000"/>
          <w:szCs w:val="21"/>
        </w:rPr>
        <w:t>4.84%</w:t>
      </w:r>
      <w:r>
        <w:rPr>
          <w:rFonts w:hint="eastAsia" w:ascii="宋体" w:hAnsi="宋体"/>
          <w:color w:val="000000"/>
          <w:szCs w:val="21"/>
        </w:rPr>
        <w:t>。</w:t>
      </w:r>
    </w:p>
    <w:p>
      <w:pPr>
        <w:widowControl/>
        <w:spacing w:line="300" w:lineRule="auto"/>
        <w:contextualSpacing/>
        <w:outlineLvl w:val="0"/>
        <w:rPr>
          <w:rFonts w:ascii="宋体" w:hAnsi="宋体"/>
          <w:b/>
          <w:bCs/>
          <w:color w:val="000000"/>
          <w:szCs w:val="21"/>
        </w:rPr>
      </w:pPr>
      <w:r>
        <w:rPr>
          <w:rFonts w:hint="eastAsia" w:ascii="宋体" w:hAnsi="宋体"/>
          <w:b/>
          <w:bCs/>
          <w:color w:val="000000"/>
          <w:szCs w:val="21"/>
        </w:rPr>
        <w:t>示例二：扣除托管费、固定管理费后、销售服务费（如有），投资收益率未达到业绩比较基准。</w:t>
      </w:r>
    </w:p>
    <w:p>
      <w:pPr>
        <w:widowControl/>
        <w:spacing w:line="300" w:lineRule="auto"/>
        <w:contextualSpacing/>
        <w:outlineLvl w:val="0"/>
        <w:rPr>
          <w:rFonts w:ascii="宋体" w:hAnsi="宋体"/>
          <w:color w:val="000000"/>
          <w:szCs w:val="21"/>
        </w:rPr>
      </w:pPr>
      <w:r>
        <w:rPr>
          <w:rFonts w:hint="eastAsia" w:ascii="宋体" w:hAnsi="宋体"/>
          <w:color w:val="000000"/>
          <w:szCs w:val="21"/>
        </w:rPr>
        <w:t xml:space="preserve">    以某投资者投资10万元产品B份额为例，假设购买时产品净值为1.00元，折算份额为100,000.00份，假设理财期限为362天。假设产品业绩比较基准为4.50%，假设管理人提取超过业绩基准部分的80%作为浮动管理费，到期时扣除托管费、固定管理费、销售服务费（如有）后，如产品净值为1.0426，此时，(1.0426/1.00-1)×365/362=</w:t>
      </w:r>
      <w:r>
        <w:rPr>
          <w:rFonts w:ascii="宋体" w:hAnsi="宋体"/>
          <w:color w:val="000000"/>
          <w:szCs w:val="21"/>
        </w:rPr>
        <w:t>4.30%</w:t>
      </w:r>
      <w:r>
        <w:rPr>
          <w:rFonts w:hint="eastAsia" w:ascii="宋体" w:hAnsi="宋体"/>
          <w:color w:val="000000"/>
          <w:szCs w:val="21"/>
        </w:rPr>
        <w:t>&lt;4.50%，即投资收益未达到业绩比较基准，则投资管理人不收取浮动管理费，投资者最终收益为：100,000.00×(1.0426-1.00）=4,260.00（元）</w:t>
      </w:r>
    </w:p>
    <w:p>
      <w:pPr>
        <w:widowControl/>
        <w:spacing w:line="300" w:lineRule="auto"/>
        <w:contextualSpacing/>
        <w:outlineLvl w:val="0"/>
        <w:rPr>
          <w:rFonts w:ascii="宋体" w:hAnsi="宋体"/>
          <w:b/>
          <w:bCs/>
          <w:color w:val="000000"/>
          <w:szCs w:val="21"/>
        </w:rPr>
      </w:pPr>
      <w:r>
        <w:rPr>
          <w:rFonts w:hint="eastAsia" w:ascii="宋体" w:hAnsi="宋体"/>
          <w:b/>
          <w:bCs/>
          <w:color w:val="000000"/>
          <w:szCs w:val="21"/>
        </w:rPr>
        <w:t>示例三：最不利情况，扣除托管费、固定管理费、销售服务费（如有）后，投资发生亏损。</w:t>
      </w:r>
    </w:p>
    <w:p>
      <w:pPr>
        <w:widowControl/>
        <w:spacing w:line="300" w:lineRule="auto"/>
        <w:contextualSpacing/>
        <w:outlineLvl w:val="0"/>
        <w:rPr>
          <w:rFonts w:ascii="宋体" w:hAnsi="宋体"/>
          <w:color w:val="000000"/>
          <w:szCs w:val="21"/>
        </w:rPr>
      </w:pPr>
      <w:r>
        <w:rPr>
          <w:rFonts w:hint="eastAsia" w:ascii="宋体" w:hAnsi="宋体"/>
          <w:color w:val="000000"/>
          <w:szCs w:val="21"/>
        </w:rPr>
        <w:t xml:space="preserve">    以某投资者投资10万元产品B份额为例，假设购买时产品净值为1.00元，折算份额为100,000.00份，假设理财期限为362天。假设产品业绩比较基准为4.50%，假设管理人提取超过业绩基准部分的80%作为浮动管理费，到期时扣除托管费、固定管理费、销售服务费（如有）后，如产品净值为0.9975，则投资管理人不收取浮动管理费，投资者最终收益为：100,000.00×（0.9975-1.00）=-250.00（元）。</w:t>
      </w:r>
    </w:p>
    <w:p>
      <w:pPr>
        <w:numPr>
          <w:ilvl w:val="0"/>
          <w:numId w:val="13"/>
        </w:numPr>
        <w:spacing w:line="300" w:lineRule="auto"/>
        <w:rPr>
          <w:rFonts w:ascii="宋体" w:hAnsi="宋体" w:cs="宋体"/>
          <w:color w:val="000000"/>
          <w:kern w:val="0"/>
          <w:szCs w:val="21"/>
        </w:rPr>
      </w:pPr>
      <w:r>
        <w:rPr>
          <w:rFonts w:hint="eastAsia" w:ascii="宋体" w:hAnsi="宋体" w:cs="宋体"/>
          <w:color w:val="000000"/>
          <w:kern w:val="0"/>
          <w:szCs w:val="21"/>
        </w:rPr>
        <w:t>最不利情况分析</w:t>
      </w:r>
    </w:p>
    <w:p>
      <w:pPr>
        <w:pStyle w:val="19"/>
        <w:spacing w:before="0" w:beforeAutospacing="0" w:after="0" w:afterAutospacing="0" w:line="300" w:lineRule="auto"/>
        <w:outlineLvl w:val="0"/>
        <w:rPr>
          <w:color w:val="000000"/>
          <w:sz w:val="21"/>
          <w:szCs w:val="21"/>
        </w:rPr>
      </w:pPr>
      <w:r>
        <w:rPr>
          <w:rFonts w:hint="eastAsia"/>
          <w:color w:val="000000"/>
          <w:sz w:val="21"/>
          <w:szCs w:val="21"/>
        </w:rPr>
        <w:t xml:space="preserve">    </w:t>
      </w:r>
      <w:r>
        <w:rPr>
          <w:color w:val="000000"/>
          <w:sz w:val="21"/>
          <w:szCs w:val="21"/>
        </w:rPr>
        <w:t>本产品为</w:t>
      </w:r>
      <w:r>
        <w:rPr>
          <w:rFonts w:hint="eastAsia"/>
          <w:b/>
          <w:bCs/>
          <w:color w:val="000000"/>
          <w:sz w:val="21"/>
          <w:szCs w:val="21"/>
        </w:rPr>
        <w:t>〖固定收益类〗净值型</w:t>
      </w:r>
      <w:r>
        <w:rPr>
          <w:color w:val="000000"/>
          <w:sz w:val="21"/>
          <w:szCs w:val="21"/>
        </w:rPr>
        <w:t>理财产品，由于市场波动导致投资品贬值或者投资品发生信用风险导致相应损失，使产品到期时</w:t>
      </w:r>
      <w:r>
        <w:rPr>
          <w:rFonts w:hint="eastAsia"/>
          <w:color w:val="000000"/>
          <w:sz w:val="21"/>
          <w:szCs w:val="21"/>
        </w:rPr>
        <w:t>投资收益达不到业绩基准</w:t>
      </w:r>
      <w:r>
        <w:rPr>
          <w:color w:val="000000"/>
          <w:sz w:val="21"/>
          <w:szCs w:val="21"/>
        </w:rPr>
        <w:t>，甚至不足以支付理财产品本金，届时理财资金将按照产品实际净值向</w:t>
      </w:r>
      <w:r>
        <w:rPr>
          <w:rFonts w:hint="eastAsia"/>
          <w:color w:val="000000"/>
          <w:sz w:val="21"/>
          <w:szCs w:val="21"/>
        </w:rPr>
        <w:t>投资者</w:t>
      </w:r>
      <w:r>
        <w:rPr>
          <w:color w:val="000000"/>
          <w:sz w:val="21"/>
          <w:szCs w:val="21"/>
        </w:rPr>
        <w:t>进行分配。但在此种情形下，理财产品保留向发生信用风险的投资品发行主体进行追偿的法定权利，若这些权利在未来得以实现，在扣除相关费用后，将继续向</w:t>
      </w:r>
      <w:r>
        <w:rPr>
          <w:rFonts w:hint="eastAsia"/>
          <w:color w:val="000000"/>
          <w:sz w:val="21"/>
          <w:szCs w:val="21"/>
        </w:rPr>
        <w:t>投资者</w:t>
      </w:r>
      <w:r>
        <w:rPr>
          <w:color w:val="000000"/>
          <w:sz w:val="21"/>
          <w:szCs w:val="21"/>
        </w:rPr>
        <w:t>进行清偿。</w:t>
      </w:r>
    </w:p>
    <w:p>
      <w:pPr>
        <w:pStyle w:val="6"/>
        <w:numPr>
          <w:ilvl w:val="0"/>
          <w:numId w:val="2"/>
        </w:numPr>
        <w:spacing w:before="0" w:after="0" w:line="300" w:lineRule="auto"/>
        <w:jc w:val="both"/>
        <w:rPr>
          <w:rFonts w:cs="宋体"/>
          <w:color w:val="000000"/>
          <w:sz w:val="28"/>
          <w:szCs w:val="28"/>
        </w:rPr>
      </w:pPr>
      <w:r>
        <w:rPr>
          <w:rFonts w:hint="eastAsia" w:cs="宋体"/>
          <w:color w:val="000000"/>
          <w:sz w:val="28"/>
          <w:szCs w:val="28"/>
        </w:rPr>
        <w:t>理财产品的认购与到期终止</w:t>
      </w:r>
    </w:p>
    <w:p>
      <w:pPr>
        <w:widowControl/>
        <w:numPr>
          <w:ilvl w:val="0"/>
          <w:numId w:val="15"/>
        </w:numPr>
        <w:spacing w:line="300" w:lineRule="auto"/>
        <w:contextualSpacing/>
        <w:outlineLvl w:val="0"/>
        <w:rPr>
          <w:rFonts w:ascii="宋体" w:hAnsi="宋体" w:cs="宋体"/>
          <w:color w:val="000000"/>
          <w:kern w:val="0"/>
          <w:szCs w:val="21"/>
        </w:rPr>
      </w:pPr>
      <w:r>
        <w:rPr>
          <w:rFonts w:hint="eastAsia" w:ascii="宋体" w:hAnsi="宋体" w:cs="宋体"/>
          <w:color w:val="000000"/>
          <w:kern w:val="0"/>
          <w:szCs w:val="21"/>
        </w:rPr>
        <w:t>认购所需材料：在产品认购期内，个人投资者请通过网上银行等电子渠道或携带本人身份证件、借记卡至销售机构办理相关手续。机构投资者请通过网上银行等电子渠道或携带加盖单位公章的营业执照复印件、法人身份证件原件及复印件、《授权委托书》、被授权人身份证件原件及复印件及销售机构要求的其他资料到销售机构办理。</w:t>
      </w:r>
      <w:r>
        <w:rPr>
          <w:rFonts w:hint="eastAsia"/>
          <w:szCs w:val="21"/>
        </w:rPr>
        <w:t>如新增认购使得单一投资者持有份额比例超过</w:t>
      </w:r>
      <w:r>
        <w:rPr>
          <w:rFonts w:hint="eastAsia" w:ascii="Calibri" w:hAnsi="Calibri" w:cs="Calibri"/>
          <w:szCs w:val="21"/>
        </w:rPr>
        <w:t>50</w:t>
      </w:r>
      <w:r>
        <w:rPr>
          <w:rFonts w:hint="eastAsia"/>
          <w:szCs w:val="21"/>
        </w:rPr>
        <w:t>％，管理人将不再接受超出部分的认购申请。非因投资管理人主观因素导致突破前款规定比例限制的，在单一投资者持有比例降至</w:t>
      </w:r>
      <w:r>
        <w:rPr>
          <w:rFonts w:hint="eastAsia" w:ascii="Calibri" w:hAnsi="Calibri" w:cs="Calibri"/>
          <w:szCs w:val="21"/>
        </w:rPr>
        <w:t>50</w:t>
      </w:r>
      <w:r>
        <w:rPr>
          <w:rFonts w:hint="eastAsia"/>
          <w:szCs w:val="21"/>
        </w:rPr>
        <w:t>％以下之前，管理人将不再接受该投资者对该理财产品的认购申请。投资者持有份额的计算以管理人登记为准。</w:t>
      </w:r>
    </w:p>
    <w:p>
      <w:pPr>
        <w:widowControl/>
        <w:numPr>
          <w:ilvl w:val="0"/>
          <w:numId w:val="15"/>
        </w:numPr>
        <w:spacing w:line="300" w:lineRule="auto"/>
        <w:contextualSpacing/>
        <w:outlineLvl w:val="0"/>
        <w:rPr>
          <w:rFonts w:ascii="宋体" w:hAnsi="宋体" w:cs="宋体"/>
          <w:color w:val="000000"/>
          <w:kern w:val="0"/>
          <w:szCs w:val="21"/>
        </w:rPr>
      </w:pPr>
      <w:r>
        <w:rPr>
          <w:rFonts w:hint="eastAsia" w:ascii="宋体" w:hAnsi="宋体" w:cs="宋体"/>
          <w:color w:val="000000"/>
          <w:kern w:val="0"/>
          <w:szCs w:val="21"/>
        </w:rPr>
        <w:t>产品成立资金划付：销售机构有权以投资者签署的理财计划协议书中约定的投资金额为限从投资者理财账户中进行资金扣划，无需投资者另行授权。</w:t>
      </w:r>
    </w:p>
    <w:p>
      <w:pPr>
        <w:widowControl/>
        <w:numPr>
          <w:ilvl w:val="0"/>
          <w:numId w:val="15"/>
        </w:numPr>
        <w:spacing w:line="300" w:lineRule="auto"/>
        <w:contextualSpacing/>
        <w:outlineLvl w:val="0"/>
        <w:rPr>
          <w:rFonts w:ascii="宋体" w:hAnsi="宋体" w:cs="宋体"/>
          <w:color w:val="000000"/>
          <w:szCs w:val="21"/>
        </w:rPr>
      </w:pPr>
      <w:r>
        <w:rPr>
          <w:rFonts w:hint="eastAsia" w:ascii="宋体" w:hAnsi="宋体" w:cs="宋体"/>
          <w:color w:val="000000"/>
          <w:kern w:val="0"/>
          <w:szCs w:val="21"/>
        </w:rPr>
        <w:t>到期兑付</w:t>
      </w:r>
      <w:r>
        <w:rPr>
          <w:rFonts w:hint="eastAsia" w:ascii="宋体" w:hAnsi="宋体" w:cs="宋体"/>
          <w:color w:val="000000"/>
          <w:szCs w:val="21"/>
        </w:rPr>
        <w:t>：销售机构将于投资者实际到期日后</w:t>
      </w:r>
      <w:r>
        <w:rPr>
          <w:rFonts w:hint="eastAsia" w:ascii="宋体" w:hAnsi="宋体" w:cs="宋体"/>
          <w:b/>
          <w:bCs/>
          <w:color w:val="000000"/>
          <w:szCs w:val="21"/>
        </w:rPr>
        <w:t>3</w:t>
      </w:r>
      <w:r>
        <w:rPr>
          <w:rFonts w:hint="eastAsia" w:ascii="宋体" w:hAnsi="宋体" w:cs="宋体"/>
          <w:b/>
          <w:color w:val="000000"/>
          <w:szCs w:val="21"/>
        </w:rPr>
        <w:t>个</w:t>
      </w:r>
      <w:r>
        <w:rPr>
          <w:rFonts w:hint="eastAsia" w:ascii="宋体" w:hAnsi="宋体" w:cs="宋体"/>
          <w:color w:val="000000"/>
          <w:szCs w:val="21"/>
        </w:rPr>
        <w:t>工作日内按规定的要求划入投资者授权指定的理财账户。</w:t>
      </w:r>
    </w:p>
    <w:p>
      <w:pPr>
        <w:widowControl/>
        <w:numPr>
          <w:ilvl w:val="0"/>
          <w:numId w:val="15"/>
        </w:numPr>
        <w:spacing w:line="300" w:lineRule="auto"/>
        <w:jc w:val="left"/>
        <w:outlineLvl w:val="0"/>
        <w:rPr>
          <w:rFonts w:ascii="宋体" w:hAnsi="宋体" w:cs="宋体"/>
          <w:color w:val="000000"/>
          <w:szCs w:val="21"/>
        </w:rPr>
      </w:pPr>
      <w:r>
        <w:rPr>
          <w:rFonts w:hint="eastAsia" w:ascii="宋体" w:hAnsi="宋体" w:cs="宋体"/>
          <w:color w:val="000000"/>
          <w:kern w:val="0"/>
          <w:szCs w:val="21"/>
        </w:rPr>
        <w:t>提前终止：</w:t>
      </w:r>
      <w:r>
        <w:rPr>
          <w:rFonts w:hint="eastAsia" w:ascii="宋体" w:hAnsi="宋体" w:cs="宋体"/>
          <w:color w:val="000000"/>
          <w:szCs w:val="21"/>
        </w:rPr>
        <w:t>在理财期限内，管理人根据投资情况有提前终止权，于本理财产品提前终止日前</w:t>
      </w:r>
      <w:r>
        <w:rPr>
          <w:rFonts w:hint="eastAsia" w:ascii="宋体" w:hAnsi="宋体" w:cs="宋体"/>
          <w:b/>
          <w:color w:val="000000"/>
          <w:szCs w:val="21"/>
        </w:rPr>
        <w:t>1个</w:t>
      </w:r>
      <w:r>
        <w:rPr>
          <w:rFonts w:hint="eastAsia" w:ascii="宋体" w:hAnsi="宋体" w:cs="宋体"/>
          <w:color w:val="000000"/>
          <w:szCs w:val="21"/>
        </w:rPr>
        <w:t>工作日在通过管理人或销售机构发布提前终止公告，并于终止日后</w:t>
      </w:r>
      <w:r>
        <w:rPr>
          <w:rFonts w:hint="eastAsia" w:ascii="宋体" w:hAnsi="宋体" w:cs="宋体"/>
          <w:b/>
          <w:color w:val="000000"/>
          <w:szCs w:val="21"/>
        </w:rPr>
        <w:t>3个</w:t>
      </w:r>
      <w:r>
        <w:rPr>
          <w:rFonts w:hint="eastAsia" w:ascii="宋体" w:hAnsi="宋体" w:cs="宋体"/>
          <w:color w:val="000000"/>
          <w:szCs w:val="21"/>
        </w:rPr>
        <w:t>工作日内将可兑付款项按规定的要求划入投资者授权指定的理财账户。终止日至资金实际到账日之间，投资者资金不计息。</w:t>
      </w:r>
    </w:p>
    <w:p>
      <w:pPr>
        <w:widowControl/>
        <w:spacing w:line="300" w:lineRule="auto"/>
        <w:ind w:firstLine="413" w:firstLineChars="196"/>
        <w:jc w:val="left"/>
        <w:outlineLvl w:val="0"/>
        <w:rPr>
          <w:rFonts w:ascii="宋体" w:hAnsi="宋体" w:cs="宋体"/>
          <w:b/>
          <w:color w:val="000000"/>
          <w:szCs w:val="21"/>
        </w:rPr>
      </w:pPr>
      <w:r>
        <w:rPr>
          <w:rFonts w:hint="eastAsia" w:ascii="宋体" w:hAnsi="宋体" w:cs="宋体"/>
          <w:b/>
          <w:color w:val="000000"/>
          <w:szCs w:val="21"/>
        </w:rPr>
        <w:t xml:space="preserve">如发生以下事项时，管理人可对本理财产品行使全部提前终止权： </w:t>
      </w:r>
    </w:p>
    <w:p>
      <w:pPr>
        <w:widowControl/>
        <w:numPr>
          <w:ilvl w:val="0"/>
          <w:numId w:val="16"/>
        </w:numPr>
        <w:spacing w:line="300" w:lineRule="auto"/>
        <w:jc w:val="left"/>
        <w:outlineLvl w:val="0"/>
        <w:rPr>
          <w:rFonts w:ascii="宋体" w:hAnsi="宋体" w:cs="宋体"/>
          <w:b/>
          <w:color w:val="000000"/>
          <w:szCs w:val="21"/>
        </w:rPr>
      </w:pPr>
      <w:r>
        <w:rPr>
          <w:rFonts w:hint="eastAsia" w:ascii="宋体" w:hAnsi="宋体" w:cs="宋体"/>
          <w:b/>
          <w:color w:val="000000"/>
          <w:szCs w:val="21"/>
        </w:rPr>
        <w:t xml:space="preserve">如因本理财产品资产运作模式等与法律法规、规章的规定或者监管部门的要求等存在冲突导致理财产品必须提前终止的； </w:t>
      </w:r>
    </w:p>
    <w:p>
      <w:pPr>
        <w:widowControl/>
        <w:numPr>
          <w:ilvl w:val="0"/>
          <w:numId w:val="16"/>
        </w:numPr>
        <w:spacing w:line="300" w:lineRule="auto"/>
        <w:jc w:val="left"/>
        <w:outlineLvl w:val="0"/>
        <w:rPr>
          <w:rFonts w:ascii="宋体" w:hAnsi="宋体" w:cs="宋体"/>
          <w:b/>
          <w:color w:val="000000"/>
          <w:szCs w:val="21"/>
        </w:rPr>
      </w:pPr>
      <w:r>
        <w:rPr>
          <w:rFonts w:hint="eastAsia" w:ascii="宋体" w:hAnsi="宋体" w:cs="宋体"/>
          <w:b/>
          <w:color w:val="000000"/>
          <w:szCs w:val="21"/>
        </w:rPr>
        <w:t xml:space="preserve">国家有关法律、法规、规章、政策的改变、紧急措施的出台、理财市场环境发生重大变化等导致理财产品必须提前终止的； </w:t>
      </w:r>
    </w:p>
    <w:p>
      <w:pPr>
        <w:widowControl/>
        <w:numPr>
          <w:ilvl w:val="0"/>
          <w:numId w:val="16"/>
        </w:numPr>
        <w:spacing w:line="300" w:lineRule="auto"/>
        <w:jc w:val="left"/>
        <w:outlineLvl w:val="0"/>
        <w:rPr>
          <w:rFonts w:ascii="宋体" w:hAnsi="宋体" w:cs="宋体"/>
          <w:b/>
          <w:color w:val="000000"/>
          <w:szCs w:val="21"/>
        </w:rPr>
      </w:pPr>
      <w:r>
        <w:rPr>
          <w:rFonts w:hint="eastAsia" w:ascii="宋体" w:hAnsi="宋体" w:cs="宋体"/>
          <w:b/>
          <w:color w:val="000000"/>
          <w:szCs w:val="21"/>
        </w:rPr>
        <w:t>因地震、火灾、战争、罢工等不可抗力因素导致本理财产品必须提前终止的；</w:t>
      </w:r>
    </w:p>
    <w:p>
      <w:pPr>
        <w:widowControl/>
        <w:numPr>
          <w:ilvl w:val="0"/>
          <w:numId w:val="16"/>
        </w:numPr>
        <w:spacing w:line="300" w:lineRule="auto"/>
        <w:jc w:val="left"/>
        <w:outlineLvl w:val="0"/>
        <w:rPr>
          <w:rFonts w:ascii="宋体" w:hAnsi="宋体" w:cs="宋体"/>
          <w:color w:val="000000"/>
          <w:szCs w:val="21"/>
        </w:rPr>
      </w:pPr>
      <w:r>
        <w:rPr>
          <w:rFonts w:hint="eastAsia" w:ascii="宋体" w:hAnsi="宋体" w:cs="宋体"/>
          <w:b/>
          <w:color w:val="000000"/>
          <w:szCs w:val="21"/>
        </w:rPr>
        <w:t>管理人认为应该提前终止本理财产品的其他情况。</w:t>
      </w:r>
      <w:r>
        <w:rPr>
          <w:rFonts w:hint="eastAsia" w:ascii="宋体" w:hAnsi="宋体" w:cs="宋体"/>
          <w:color w:val="000000"/>
          <w:szCs w:val="21"/>
        </w:rPr>
        <w:t xml:space="preserve"> </w:t>
      </w:r>
    </w:p>
    <w:p>
      <w:pPr>
        <w:widowControl/>
        <w:spacing w:line="300" w:lineRule="auto"/>
        <w:ind w:firstLine="420" w:firstLineChars="200"/>
        <w:jc w:val="left"/>
        <w:outlineLvl w:val="0"/>
        <w:rPr>
          <w:rFonts w:ascii="宋体" w:hAnsi="宋体" w:cs="宋体"/>
          <w:color w:val="000000"/>
          <w:szCs w:val="21"/>
        </w:rPr>
      </w:pPr>
      <w:r>
        <w:rPr>
          <w:rFonts w:hint="eastAsia" w:ascii="宋体" w:hAnsi="宋体" w:cs="宋体"/>
          <w:color w:val="000000"/>
          <w:szCs w:val="21"/>
        </w:rPr>
        <w:t>在理财期限内，管理人根据投资情况有提前终止权，投资者无提前终止权,但如下情形除外：</w:t>
      </w:r>
    </w:p>
    <w:p>
      <w:pPr>
        <w:widowControl/>
        <w:numPr>
          <w:ilvl w:val="0"/>
          <w:numId w:val="17"/>
        </w:numPr>
        <w:spacing w:line="300" w:lineRule="auto"/>
        <w:jc w:val="left"/>
        <w:outlineLvl w:val="0"/>
        <w:rPr>
          <w:rFonts w:ascii="宋体" w:hAnsi="宋体" w:cs="宋体"/>
          <w:color w:val="000000"/>
          <w:szCs w:val="21"/>
        </w:rPr>
      </w:pPr>
      <w:r>
        <w:rPr>
          <w:rFonts w:hint="eastAsia" w:ascii="宋体" w:hAnsi="宋体" w:cs="宋体"/>
          <w:color w:val="000000"/>
          <w:szCs w:val="21"/>
        </w:rPr>
        <w:t>管理人根据市场情况，调整本理财产品投资范围、投资品种或者投资比例，并按照有关规定进行信息披露后，如投资者不接受的，则投资者可按照销售文件的约定并在管理人或销售机构的相关通知或公告生效前提前赎回;</w:t>
      </w:r>
    </w:p>
    <w:p>
      <w:pPr>
        <w:widowControl/>
        <w:numPr>
          <w:ilvl w:val="0"/>
          <w:numId w:val="17"/>
        </w:numPr>
        <w:spacing w:line="300" w:lineRule="auto"/>
        <w:jc w:val="left"/>
        <w:outlineLvl w:val="0"/>
        <w:rPr>
          <w:rFonts w:ascii="宋体" w:hAnsi="宋体" w:cs="宋体"/>
          <w:color w:val="000000"/>
          <w:szCs w:val="21"/>
        </w:rPr>
      </w:pPr>
      <w:r>
        <w:rPr>
          <w:rFonts w:hint="eastAsia" w:ascii="宋体" w:hAnsi="宋体" w:cs="宋体"/>
          <w:color w:val="000000"/>
          <w:szCs w:val="21"/>
        </w:rPr>
        <w:t>管理人根据相关法律和国家政策规定，对已约定的理财产品收费项目、条件、标准和方式进行调整时，在按照有关规定进行信息披露后，如投资者不接受的，则投资者可按照销售文件的约定并在管理人或销售机构的相关通知或公告生效前提前赎回。</w:t>
      </w:r>
    </w:p>
    <w:p>
      <w:pPr>
        <w:pStyle w:val="6"/>
        <w:numPr>
          <w:ilvl w:val="0"/>
          <w:numId w:val="2"/>
        </w:numPr>
        <w:spacing w:before="0" w:after="0" w:line="300" w:lineRule="auto"/>
        <w:jc w:val="both"/>
        <w:rPr>
          <w:rFonts w:cs="宋体"/>
          <w:color w:val="000000"/>
          <w:sz w:val="28"/>
          <w:szCs w:val="28"/>
        </w:rPr>
      </w:pPr>
      <w:r>
        <w:rPr>
          <w:rFonts w:hint="eastAsia" w:cs="宋体"/>
          <w:color w:val="000000"/>
          <w:sz w:val="28"/>
          <w:szCs w:val="28"/>
        </w:rPr>
        <w:t>信息披露</w:t>
      </w:r>
    </w:p>
    <w:p>
      <w:pPr>
        <w:widowControl/>
        <w:spacing w:line="300" w:lineRule="auto"/>
        <w:ind w:firstLine="420" w:firstLineChars="200"/>
        <w:contextualSpacing/>
        <w:outlineLvl w:val="0"/>
        <w:rPr>
          <w:rFonts w:ascii="宋体" w:hAnsi="宋体" w:cs="宋体"/>
          <w:color w:val="000000"/>
          <w:kern w:val="0"/>
          <w:szCs w:val="21"/>
        </w:rPr>
      </w:pPr>
      <w:r>
        <w:rPr>
          <w:rFonts w:hint="eastAsia" w:ascii="宋体" w:hAnsi="宋体" w:cs="宋体"/>
          <w:color w:val="000000"/>
          <w:kern w:val="0"/>
          <w:szCs w:val="21"/>
        </w:rPr>
        <w:t>（一）产品认购信息披露</w:t>
      </w:r>
    </w:p>
    <w:p>
      <w:pPr>
        <w:widowControl/>
        <w:numPr>
          <w:ilvl w:val="0"/>
          <w:numId w:val="18"/>
        </w:numPr>
        <w:spacing w:line="300" w:lineRule="auto"/>
        <w:jc w:val="left"/>
        <w:outlineLvl w:val="0"/>
        <w:rPr>
          <w:rFonts w:ascii="宋体" w:hAnsi="宋体" w:cs="宋体"/>
          <w:color w:val="000000"/>
          <w:kern w:val="0"/>
          <w:szCs w:val="21"/>
        </w:rPr>
      </w:pPr>
      <w:r>
        <w:rPr>
          <w:rFonts w:hint="eastAsia" w:ascii="宋体" w:hAnsi="宋体" w:cs="宋体"/>
          <w:color w:val="000000"/>
          <w:kern w:val="0"/>
          <w:szCs w:val="21"/>
        </w:rPr>
        <w:t>产品说明书：管理人应当在正式办理产品份额认购前，将产品说明书在管理人或销售机构网站上公布，或以邮件、邮寄等非公开方式披露给特定对象。</w:t>
      </w:r>
    </w:p>
    <w:p>
      <w:pPr>
        <w:widowControl/>
        <w:numPr>
          <w:ilvl w:val="0"/>
          <w:numId w:val="18"/>
        </w:numPr>
        <w:spacing w:line="300" w:lineRule="auto"/>
        <w:jc w:val="left"/>
        <w:outlineLvl w:val="0"/>
        <w:rPr>
          <w:rFonts w:ascii="宋体" w:hAnsi="宋体" w:cs="宋体"/>
          <w:color w:val="000000"/>
          <w:kern w:val="0"/>
          <w:szCs w:val="21"/>
        </w:rPr>
      </w:pPr>
      <w:r>
        <w:rPr>
          <w:rFonts w:hint="eastAsia" w:ascii="宋体" w:hAnsi="宋体" w:cs="宋体"/>
          <w:color w:val="000000"/>
          <w:kern w:val="0"/>
          <w:szCs w:val="21"/>
        </w:rPr>
        <w:t>产品成立/不成立报告：管理人应在产品成立日后5个工作日内在产品管理人或销售机构网站上公告，或</w:t>
      </w:r>
      <w:r>
        <w:rPr>
          <w:rFonts w:hint="eastAsia" w:ascii="宋体" w:hAnsi="宋体" w:cs="宋体"/>
          <w:szCs w:val="21"/>
        </w:rPr>
        <w:t>以邮件、邮寄等非公开方式披露给特定对象。</w:t>
      </w:r>
    </w:p>
    <w:p>
      <w:pPr>
        <w:widowControl/>
        <w:numPr>
          <w:ilvl w:val="0"/>
          <w:numId w:val="18"/>
        </w:numPr>
        <w:spacing w:line="300" w:lineRule="auto"/>
        <w:jc w:val="left"/>
        <w:outlineLvl w:val="0"/>
        <w:rPr>
          <w:rFonts w:ascii="宋体" w:hAnsi="宋体" w:cs="宋体"/>
          <w:color w:val="000000"/>
          <w:kern w:val="0"/>
          <w:szCs w:val="21"/>
        </w:rPr>
      </w:pPr>
      <w:r>
        <w:rPr>
          <w:rFonts w:hint="eastAsia" w:ascii="宋体" w:hAnsi="宋体" w:cs="宋体"/>
          <w:color w:val="000000"/>
          <w:kern w:val="0"/>
          <w:szCs w:val="21"/>
        </w:rPr>
        <w:t>更新产品说明书：产品成立后，如产品说明书内容有所变更，应在变更前进行披露，并将更新后的产品说明书登载在管理人或销售机构网站上，或以邮件、邮寄等非公开方式披露给特定对象。更新的产品说明书自更新日后的有效期限内生效。投资者继续持有本理财产品或未全额赎回的，则表明投资者认可更新后的产品说明书。</w:t>
      </w:r>
    </w:p>
    <w:p>
      <w:pPr>
        <w:widowControl/>
        <w:spacing w:line="300" w:lineRule="auto"/>
        <w:ind w:firstLine="420" w:firstLineChars="200"/>
        <w:contextualSpacing/>
        <w:outlineLvl w:val="0"/>
        <w:rPr>
          <w:rFonts w:ascii="宋体" w:hAnsi="宋体" w:cs="宋体"/>
          <w:color w:val="000000"/>
          <w:kern w:val="0"/>
          <w:szCs w:val="21"/>
        </w:rPr>
      </w:pPr>
      <w:r>
        <w:rPr>
          <w:rFonts w:hint="eastAsia" w:ascii="宋体" w:hAnsi="宋体" w:cs="宋体"/>
          <w:color w:val="000000"/>
          <w:kern w:val="0"/>
          <w:szCs w:val="21"/>
        </w:rPr>
        <w:t>（二）产品运作信息披露</w:t>
      </w:r>
    </w:p>
    <w:p>
      <w:pPr>
        <w:widowControl/>
        <w:numPr>
          <w:ilvl w:val="0"/>
          <w:numId w:val="19"/>
        </w:numPr>
        <w:spacing w:line="300" w:lineRule="auto"/>
        <w:jc w:val="left"/>
        <w:outlineLvl w:val="0"/>
        <w:rPr>
          <w:rFonts w:ascii="宋体" w:hAnsi="宋体" w:cs="宋体"/>
          <w:color w:val="000000"/>
          <w:kern w:val="0"/>
          <w:szCs w:val="21"/>
        </w:rPr>
      </w:pPr>
      <w:r>
        <w:rPr>
          <w:rFonts w:hint="eastAsia" w:ascii="宋体" w:hAnsi="宋体" w:cs="宋体"/>
          <w:color w:val="000000"/>
          <w:kern w:val="0"/>
          <w:szCs w:val="21"/>
        </w:rPr>
        <w:t>产品净值公告：本产品成立后，管理人应当定期通过管理人或销售机构网站披露本产品最近的单位净值。</w:t>
      </w:r>
    </w:p>
    <w:p>
      <w:pPr>
        <w:widowControl/>
        <w:numPr>
          <w:ilvl w:val="0"/>
          <w:numId w:val="19"/>
        </w:numPr>
        <w:spacing w:line="300" w:lineRule="auto"/>
        <w:jc w:val="left"/>
        <w:outlineLvl w:val="0"/>
        <w:rPr>
          <w:rFonts w:ascii="宋体" w:hAnsi="宋体" w:cs="宋体"/>
          <w:color w:val="000000"/>
          <w:kern w:val="0"/>
          <w:szCs w:val="21"/>
        </w:rPr>
      </w:pPr>
      <w:r>
        <w:rPr>
          <w:rFonts w:hint="eastAsia" w:ascii="宋体" w:hAnsi="宋体" w:cs="宋体"/>
          <w:color w:val="000000"/>
          <w:kern w:val="0"/>
          <w:szCs w:val="21"/>
        </w:rPr>
        <w:t>产品定期报告：产品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产品投资每笔非标准化债权类资产的项目名称、剩余融资期限、风险状况等，并将定期报告正文登载于管理人或销售机构网站上，或以邮件、邮寄等非公开方式披露给特定对象。</w:t>
      </w:r>
    </w:p>
    <w:p>
      <w:pPr>
        <w:widowControl/>
        <w:spacing w:line="300" w:lineRule="auto"/>
        <w:ind w:firstLine="420" w:firstLineChars="200"/>
        <w:contextualSpacing/>
        <w:outlineLvl w:val="0"/>
        <w:rPr>
          <w:rFonts w:ascii="宋体" w:hAnsi="宋体" w:cs="宋体"/>
          <w:color w:val="000000"/>
          <w:kern w:val="0"/>
          <w:szCs w:val="21"/>
        </w:rPr>
      </w:pPr>
      <w:r>
        <w:rPr>
          <w:rFonts w:hint="eastAsia" w:ascii="宋体" w:hAnsi="宋体" w:cs="宋体"/>
          <w:color w:val="000000"/>
          <w:kern w:val="0"/>
          <w:szCs w:val="21"/>
        </w:rPr>
        <w:t>（三）产品临时信息披露</w:t>
      </w:r>
    </w:p>
    <w:p>
      <w:pPr>
        <w:widowControl/>
        <w:spacing w:line="300" w:lineRule="auto"/>
        <w:ind w:firstLine="420" w:firstLineChars="200"/>
        <w:contextualSpacing/>
        <w:outlineLvl w:val="0"/>
        <w:rPr>
          <w:rFonts w:ascii="宋体" w:hAnsi="宋体" w:cs="宋体"/>
          <w:color w:val="000000"/>
          <w:kern w:val="0"/>
          <w:szCs w:val="21"/>
        </w:rPr>
      </w:pPr>
      <w:r>
        <w:rPr>
          <w:rFonts w:hint="eastAsia" w:ascii="宋体" w:hAnsi="宋体" w:cs="宋体"/>
          <w:color w:val="000000"/>
          <w:kern w:val="0"/>
          <w:szCs w:val="21"/>
        </w:rPr>
        <w:t>本产品在运作管理过程中，发生以下事项之一时，产品管理人或产品托管人必须按照法律、法规及中国银监会的有关规定及时报告并在管理人或销售机构网站上公告。</w:t>
      </w:r>
    </w:p>
    <w:p>
      <w:pPr>
        <w:widowControl/>
        <w:numPr>
          <w:ilvl w:val="0"/>
          <w:numId w:val="20"/>
        </w:numPr>
        <w:spacing w:line="300" w:lineRule="auto"/>
        <w:jc w:val="left"/>
        <w:outlineLvl w:val="0"/>
        <w:rPr>
          <w:rFonts w:ascii="宋体" w:hAnsi="宋体" w:cs="宋体"/>
          <w:color w:val="000000"/>
          <w:kern w:val="0"/>
          <w:szCs w:val="21"/>
        </w:rPr>
      </w:pPr>
      <w:r>
        <w:rPr>
          <w:rFonts w:hint="eastAsia" w:ascii="宋体" w:hAnsi="宋体" w:cs="宋体"/>
          <w:color w:val="000000"/>
          <w:kern w:val="0"/>
          <w:szCs w:val="21"/>
        </w:rPr>
        <w:t>终止产品；</w:t>
      </w:r>
    </w:p>
    <w:p>
      <w:pPr>
        <w:widowControl/>
        <w:numPr>
          <w:ilvl w:val="0"/>
          <w:numId w:val="20"/>
        </w:numPr>
        <w:spacing w:line="300" w:lineRule="auto"/>
        <w:jc w:val="left"/>
        <w:outlineLvl w:val="0"/>
        <w:rPr>
          <w:rFonts w:ascii="宋体" w:hAnsi="宋体" w:cs="宋体"/>
          <w:color w:val="000000"/>
          <w:kern w:val="0"/>
          <w:szCs w:val="21"/>
        </w:rPr>
      </w:pPr>
      <w:r>
        <w:rPr>
          <w:rFonts w:hint="eastAsia" w:ascii="宋体" w:hAnsi="宋体" w:cs="宋体"/>
          <w:color w:val="000000"/>
          <w:kern w:val="0"/>
          <w:szCs w:val="21"/>
        </w:rPr>
        <w:t>更换产品管理人、产品托管人；</w:t>
      </w:r>
    </w:p>
    <w:p>
      <w:pPr>
        <w:widowControl/>
        <w:numPr>
          <w:ilvl w:val="0"/>
          <w:numId w:val="20"/>
        </w:numPr>
        <w:spacing w:line="300" w:lineRule="auto"/>
        <w:jc w:val="left"/>
        <w:outlineLvl w:val="0"/>
        <w:rPr>
          <w:rFonts w:ascii="宋体" w:hAnsi="宋体" w:cs="宋体"/>
          <w:color w:val="000000"/>
          <w:kern w:val="0"/>
          <w:szCs w:val="21"/>
        </w:rPr>
      </w:pPr>
      <w:r>
        <w:rPr>
          <w:rFonts w:hint="eastAsia" w:ascii="宋体" w:hAnsi="宋体" w:cs="宋体"/>
          <w:color w:val="000000"/>
          <w:kern w:val="0"/>
          <w:szCs w:val="21"/>
        </w:rPr>
        <w:t>涉及产品管理业务、产品资产、产品保管业务的重大诉讼；</w:t>
      </w:r>
    </w:p>
    <w:p>
      <w:pPr>
        <w:widowControl/>
        <w:numPr>
          <w:ilvl w:val="0"/>
          <w:numId w:val="20"/>
        </w:numPr>
        <w:spacing w:line="300" w:lineRule="auto"/>
        <w:jc w:val="left"/>
        <w:outlineLvl w:val="0"/>
        <w:rPr>
          <w:rFonts w:ascii="宋体" w:hAnsi="宋体" w:cs="宋体"/>
          <w:color w:val="000000"/>
          <w:kern w:val="0"/>
          <w:szCs w:val="21"/>
        </w:rPr>
      </w:pPr>
      <w:r>
        <w:rPr>
          <w:rFonts w:hint="eastAsia" w:ascii="宋体" w:hAnsi="宋体" w:cs="宋体"/>
          <w:color w:val="000000"/>
          <w:kern w:val="0"/>
          <w:szCs w:val="21"/>
        </w:rPr>
        <w:t>产品管理费等费用计提标准、计提方式和费率发生变更；</w:t>
      </w:r>
    </w:p>
    <w:p>
      <w:pPr>
        <w:widowControl/>
        <w:numPr>
          <w:ilvl w:val="0"/>
          <w:numId w:val="20"/>
        </w:numPr>
        <w:spacing w:line="300" w:lineRule="auto"/>
        <w:jc w:val="left"/>
        <w:outlineLvl w:val="0"/>
        <w:rPr>
          <w:rFonts w:ascii="宋体" w:hAnsi="宋体" w:cs="宋体"/>
          <w:color w:val="000000"/>
          <w:kern w:val="0"/>
          <w:szCs w:val="21"/>
        </w:rPr>
      </w:pPr>
      <w:r>
        <w:rPr>
          <w:rFonts w:hint="eastAsia" w:ascii="宋体" w:hAnsi="宋体" w:cs="宋体"/>
          <w:color w:val="000000"/>
          <w:kern w:val="0"/>
          <w:szCs w:val="21"/>
        </w:rPr>
        <w:t>产品发生延期支付；</w:t>
      </w:r>
    </w:p>
    <w:p>
      <w:pPr>
        <w:widowControl/>
        <w:numPr>
          <w:ilvl w:val="0"/>
          <w:numId w:val="20"/>
        </w:numPr>
        <w:spacing w:line="300" w:lineRule="auto"/>
        <w:jc w:val="left"/>
        <w:outlineLvl w:val="0"/>
        <w:rPr>
          <w:rFonts w:ascii="宋体" w:hAnsi="宋体" w:cs="宋体"/>
          <w:color w:val="000000"/>
          <w:kern w:val="0"/>
          <w:szCs w:val="21"/>
        </w:rPr>
      </w:pPr>
      <w:r>
        <w:rPr>
          <w:rFonts w:hint="eastAsia" w:ascii="宋体" w:hAnsi="宋体" w:cs="宋体"/>
          <w:color w:val="000000"/>
          <w:kern w:val="0"/>
          <w:szCs w:val="21"/>
        </w:rPr>
        <w:t>其它应披露的事项。</w:t>
      </w:r>
    </w:p>
    <w:p>
      <w:pPr>
        <w:widowControl/>
        <w:spacing w:line="300" w:lineRule="auto"/>
        <w:ind w:firstLine="420" w:firstLineChars="200"/>
        <w:contextualSpacing/>
        <w:outlineLvl w:val="0"/>
        <w:rPr>
          <w:rFonts w:ascii="宋体" w:hAnsi="宋体" w:cs="宋体"/>
          <w:color w:val="000000"/>
          <w:kern w:val="0"/>
          <w:szCs w:val="21"/>
        </w:rPr>
      </w:pPr>
      <w:r>
        <w:rPr>
          <w:rFonts w:hint="eastAsia" w:ascii="宋体" w:hAnsi="宋体" w:cs="宋体"/>
          <w:color w:val="000000"/>
          <w:kern w:val="0"/>
          <w:szCs w:val="21"/>
        </w:rPr>
        <w:t>（四）信息披露文件</w:t>
      </w:r>
    </w:p>
    <w:p>
      <w:pPr>
        <w:widowControl/>
        <w:spacing w:line="300" w:lineRule="auto"/>
        <w:ind w:firstLine="420" w:firstLineChars="200"/>
        <w:contextualSpacing/>
        <w:outlineLvl w:val="0"/>
        <w:rPr>
          <w:rFonts w:ascii="宋体" w:hAnsi="宋体" w:cs="宋体"/>
          <w:color w:val="000000"/>
          <w:kern w:val="0"/>
          <w:szCs w:val="21"/>
        </w:rPr>
      </w:pPr>
      <w:r>
        <w:rPr>
          <w:rFonts w:hint="eastAsia" w:ascii="宋体" w:hAnsi="宋体" w:cs="宋体"/>
          <w:color w:val="000000"/>
          <w:kern w:val="0"/>
          <w:szCs w:val="21"/>
        </w:rPr>
        <w:t>投资者可直接在产品管理人或销售机构的网站查阅相关的信息披露文件。本理财计划在运作管理过程中，发生可能对理财计划份额持有人权益产生重大影响的事项时，管理人可视情况选择以下一种或多种途径告知投资者：管理人或销售机构官方网站、营业网点、邮件、电话、手机短信等。</w:t>
      </w:r>
    </w:p>
    <w:p>
      <w:pPr>
        <w:pStyle w:val="6"/>
        <w:numPr>
          <w:ilvl w:val="0"/>
          <w:numId w:val="2"/>
        </w:numPr>
        <w:spacing w:before="0" w:after="0" w:line="300" w:lineRule="auto"/>
        <w:ind w:left="424" w:hanging="424" w:hangingChars="151"/>
        <w:jc w:val="both"/>
        <w:rPr>
          <w:color w:val="000000"/>
          <w:sz w:val="28"/>
          <w:szCs w:val="28"/>
        </w:rPr>
      </w:pPr>
      <w:r>
        <w:rPr>
          <w:rFonts w:hint="eastAsia" w:cs="宋体"/>
          <w:color w:val="000000"/>
          <w:sz w:val="28"/>
          <w:szCs w:val="28"/>
        </w:rPr>
        <w:t>重要提示</w:t>
      </w:r>
    </w:p>
    <w:p>
      <w:pPr>
        <w:spacing w:line="300" w:lineRule="auto"/>
        <w:ind w:firstLine="424" w:firstLineChars="202"/>
        <w:rPr>
          <w:rFonts w:hint="eastAsia" w:ascii="宋体" w:hAnsi="Wingdings" w:cs="宋体"/>
          <w:color w:val="000000"/>
          <w:kern w:val="0"/>
        </w:rPr>
      </w:pPr>
      <w:r>
        <w:rPr>
          <w:rFonts w:hint="eastAsia" w:ascii="宋体" w:hAnsi="Wingdings" w:cs="宋体"/>
          <w:color w:val="000000"/>
          <w:kern w:val="0"/>
        </w:rPr>
        <w:t>根据中国人民银行、银保监会、证监会、外汇局《关于规范金融机构资产管理业务的指导意见》第四条规定：“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本产品属于</w:t>
      </w:r>
      <w:r>
        <w:rPr>
          <w:rFonts w:hint="eastAsia" w:ascii="宋体" w:hAnsi="宋体" w:cs="宋体"/>
          <w:szCs w:val="21"/>
        </w:rPr>
        <w:t>〖固定收益类〗</w:t>
      </w:r>
      <w:r>
        <w:rPr>
          <w:rFonts w:hint="eastAsia" w:ascii="宋体" w:hAnsi="Wingdings" w:cs="宋体"/>
          <w:color w:val="000000"/>
          <w:kern w:val="0"/>
        </w:rPr>
        <w:t>理财产品。</w:t>
      </w:r>
    </w:p>
    <w:p>
      <w:pPr>
        <w:spacing w:line="300" w:lineRule="auto"/>
        <w:ind w:firstLine="426" w:firstLineChars="202"/>
        <w:rPr>
          <w:rFonts w:hint="eastAsia" w:ascii="宋体" w:hAnsi="Wingdings" w:cs="宋体"/>
          <w:color w:val="000000"/>
          <w:kern w:val="0"/>
        </w:rPr>
      </w:pPr>
      <w:r>
        <w:rPr>
          <w:rFonts w:hint="eastAsia" w:ascii="宋体" w:hAnsi="Wingdings" w:cs="宋体"/>
          <w:b/>
          <w:color w:val="000000"/>
          <w:kern w:val="0"/>
        </w:rPr>
        <w:t>本产品为</w:t>
      </w:r>
      <w:r>
        <w:rPr>
          <w:rFonts w:hint="eastAsia" w:ascii="宋体" w:hAnsi="宋体" w:cs="宋体"/>
          <w:b/>
          <w:bCs/>
          <w:szCs w:val="21"/>
        </w:rPr>
        <w:t>〖公募〗</w:t>
      </w:r>
      <w:r>
        <w:rPr>
          <w:rFonts w:hint="eastAsia" w:ascii="宋体" w:hAnsi="Wingdings" w:cs="宋体"/>
          <w:b/>
          <w:bCs/>
          <w:color w:val="000000"/>
          <w:kern w:val="0"/>
        </w:rPr>
        <w:t>、</w:t>
      </w:r>
      <w:r>
        <w:rPr>
          <w:rFonts w:hint="eastAsia" w:ascii="宋体" w:hAnsi="宋体" w:cs="宋体"/>
          <w:b/>
          <w:bCs/>
          <w:szCs w:val="21"/>
        </w:rPr>
        <w:t>〖</w:t>
      </w:r>
      <w:r>
        <w:rPr>
          <w:rFonts w:hint="eastAsia" w:ascii="宋体" w:hAnsi="Wingdings" w:cs="宋体"/>
          <w:b/>
          <w:bCs/>
          <w:color w:val="000000"/>
          <w:kern w:val="0"/>
        </w:rPr>
        <w:t>封闭式</w:t>
      </w:r>
      <w:r>
        <w:rPr>
          <w:rFonts w:hint="eastAsia" w:ascii="宋体" w:hAnsi="宋体" w:cs="宋体"/>
          <w:b/>
          <w:bCs/>
          <w:szCs w:val="21"/>
        </w:rPr>
        <w:t>〗</w:t>
      </w:r>
      <w:r>
        <w:rPr>
          <w:rFonts w:hint="eastAsia" w:ascii="宋体" w:hAnsi="Wingdings" w:cs="宋体"/>
          <w:b/>
          <w:bCs/>
          <w:color w:val="000000"/>
          <w:kern w:val="0"/>
        </w:rPr>
        <w:t>、</w:t>
      </w:r>
      <w:r>
        <w:rPr>
          <w:rFonts w:hint="eastAsia" w:ascii="宋体" w:hAnsi="宋体" w:cs="宋体"/>
          <w:b/>
          <w:bCs/>
          <w:szCs w:val="21"/>
        </w:rPr>
        <w:t>〖固定收益〗</w:t>
      </w:r>
      <w:r>
        <w:rPr>
          <w:rFonts w:hint="eastAsia" w:ascii="宋体" w:hAnsi="Wingdings" w:cs="宋体"/>
          <w:b/>
          <w:bCs/>
          <w:color w:val="000000"/>
          <w:kern w:val="0"/>
        </w:rPr>
        <w:t>类</w:t>
      </w:r>
      <w:r>
        <w:rPr>
          <w:rFonts w:hint="eastAsia" w:ascii="宋体" w:hAnsi="Wingdings" w:cs="宋体"/>
          <w:b/>
          <w:color w:val="000000"/>
          <w:kern w:val="0"/>
        </w:rPr>
        <w:t>净值型理财产品，其业绩表现将随市场波动具有不确定性。本公司提醒投资者关注，业绩比较基准并不代表实际收益率。管理人不对本产品承诺保本或保证收益。</w:t>
      </w:r>
      <w:r>
        <w:rPr>
          <w:rFonts w:hint="eastAsia" w:ascii="宋体" w:hAnsi="Wingdings" w:cs="宋体"/>
          <w:color w:val="000000"/>
          <w:kern w:val="0"/>
        </w:rPr>
        <w:t>投资者应密切关注管理人与本产品有关的信息披露，以免造成不必要的损失。本理财产品说明书在法律许可的范围内由管理人负责解释。若投资者对本理财说明书的内容有任何疑问或异议，请通过管理人或销售机构咨询、投诉。投资者在投资前，请仔细阅读本产品说明书，并作出独立的投资决策。</w:t>
      </w:r>
    </w:p>
    <w:p>
      <w:pPr>
        <w:pStyle w:val="6"/>
        <w:numPr>
          <w:ilvl w:val="0"/>
          <w:numId w:val="2"/>
        </w:numPr>
        <w:spacing w:before="0" w:after="0" w:line="300" w:lineRule="auto"/>
        <w:ind w:left="424" w:hanging="424" w:hangingChars="151"/>
        <w:jc w:val="both"/>
        <w:rPr>
          <w:rFonts w:cs="宋体"/>
          <w:color w:val="000000"/>
          <w:sz w:val="28"/>
          <w:szCs w:val="28"/>
        </w:rPr>
      </w:pPr>
      <w:r>
        <w:rPr>
          <w:rFonts w:hint="eastAsia" w:cs="宋体"/>
          <w:color w:val="000000"/>
          <w:sz w:val="28"/>
          <w:szCs w:val="28"/>
        </w:rPr>
        <w:t>其他</w:t>
      </w:r>
    </w:p>
    <w:p>
      <w:pPr>
        <w:widowControl/>
        <w:spacing w:line="300" w:lineRule="auto"/>
        <w:ind w:firstLine="420" w:firstLineChars="200"/>
        <w:contextualSpacing/>
        <w:outlineLvl w:val="0"/>
        <w:rPr>
          <w:rFonts w:ascii="宋体" w:hAnsi="宋体" w:cs="宋体"/>
          <w:color w:val="000000"/>
          <w:kern w:val="0"/>
          <w:szCs w:val="21"/>
        </w:rPr>
      </w:pPr>
      <w:r>
        <w:rPr>
          <w:rFonts w:hint="eastAsia" w:ascii="宋体" w:hAnsi="Wingdings" w:cs="宋体"/>
          <w:color w:val="000000"/>
          <w:kern w:val="0"/>
        </w:rPr>
        <w:t>法</w:t>
      </w:r>
      <w:r>
        <w:rPr>
          <w:rFonts w:hint="eastAsia" w:ascii="宋体" w:hAnsi="宋体" w:cs="宋体"/>
          <w:color w:val="000000"/>
          <w:kern w:val="0"/>
          <w:szCs w:val="21"/>
        </w:rPr>
        <w:t>律适用和争议解决</w:t>
      </w:r>
    </w:p>
    <w:p>
      <w:pPr>
        <w:widowControl/>
        <w:spacing w:line="300" w:lineRule="auto"/>
        <w:ind w:firstLine="420" w:firstLineChars="200"/>
        <w:contextualSpacing/>
        <w:outlineLvl w:val="0"/>
        <w:rPr>
          <w:rFonts w:hint="eastAsia" w:ascii="宋体" w:hAnsi="宋体" w:cs="宋体"/>
          <w:color w:val="000000"/>
          <w:kern w:val="0"/>
          <w:szCs w:val="21"/>
        </w:rPr>
      </w:pPr>
      <w:r>
        <w:rPr>
          <w:rFonts w:hint="eastAsia" w:ascii="宋体" w:hAnsi="宋体" w:cs="宋体"/>
          <w:color w:val="000000"/>
          <w:kern w:val="0"/>
          <w:szCs w:val="21"/>
        </w:rPr>
        <w:t>理财计划合同的订立、生效、履行、解释、修改和终止等事项的适用法律和争议解决方式按照《杭银理财理财计划投资协议书》《杭银理财理财计划销售协议书》的相关约定执行。</w:t>
      </w:r>
    </w:p>
    <w:p>
      <w:pPr>
        <w:pStyle w:val="6"/>
        <w:numPr>
          <w:ilvl w:val="0"/>
          <w:numId w:val="2"/>
        </w:numPr>
        <w:spacing w:before="0" w:after="0" w:line="300" w:lineRule="auto"/>
        <w:ind w:left="424" w:hanging="424" w:hangingChars="151"/>
        <w:jc w:val="both"/>
        <w:rPr>
          <w:color w:val="000000"/>
          <w:sz w:val="28"/>
          <w:szCs w:val="28"/>
        </w:rPr>
      </w:pPr>
      <w:r>
        <w:rPr>
          <w:rFonts w:hint="eastAsia"/>
          <w:color w:val="000000"/>
          <w:sz w:val="28"/>
          <w:szCs w:val="28"/>
        </w:rPr>
        <w:t>合作机构</w:t>
      </w:r>
    </w:p>
    <w:p>
      <w:pPr>
        <w:numPr>
          <w:ilvl w:val="0"/>
          <w:numId w:val="21"/>
        </w:numPr>
        <w:spacing w:line="300" w:lineRule="auto"/>
        <w:ind w:firstLine="424" w:firstLineChars="202"/>
        <w:rPr>
          <w:rFonts w:ascii="宋体" w:hAnsi="宋体" w:cs="宋体"/>
          <w:color w:val="000000"/>
          <w:kern w:val="0"/>
          <w:szCs w:val="21"/>
        </w:rPr>
      </w:pPr>
      <w:r>
        <w:rPr>
          <w:rFonts w:hint="eastAsia" w:ascii="宋体" w:hAnsi="宋体" w:cs="宋体"/>
          <w:color w:val="000000"/>
          <w:kern w:val="0"/>
          <w:szCs w:val="21"/>
        </w:rPr>
        <w:t>托管人</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6"/>
        <w:gridCol w:w="7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8" w:hRule="atLeast"/>
          <w:jc w:val="center"/>
        </w:trPr>
        <w:tc>
          <w:tcPr>
            <w:tcW w:w="2276" w:type="dxa"/>
            <w:vAlign w:val="center"/>
          </w:tcPr>
          <w:p>
            <w:pPr>
              <w:spacing w:line="360" w:lineRule="auto"/>
              <w:jc w:val="center"/>
              <w:rPr>
                <w:rFonts w:ascii="宋体" w:hAnsi="宋体" w:cs="宋体"/>
                <w:bCs/>
                <w:szCs w:val="21"/>
              </w:rPr>
            </w:pPr>
            <w:r>
              <w:rPr>
                <w:rFonts w:hint="eastAsia" w:ascii="宋体" w:hAnsi="宋体" w:cs="宋体"/>
                <w:bCs/>
                <w:szCs w:val="21"/>
              </w:rPr>
              <w:t>托管人名称</w:t>
            </w:r>
          </w:p>
        </w:tc>
        <w:tc>
          <w:tcPr>
            <w:tcW w:w="7578" w:type="dxa"/>
          </w:tcPr>
          <w:p>
            <w:pPr>
              <w:spacing w:line="360" w:lineRule="auto"/>
              <w:jc w:val="left"/>
              <w:rPr>
                <w:rFonts w:ascii="宋体" w:hAnsi="宋体" w:cs="宋体"/>
                <w:bCs/>
                <w:szCs w:val="21"/>
              </w:rPr>
            </w:pPr>
            <w:r>
              <w:rPr>
                <w:rFonts w:hint="eastAsia" w:ascii="宋体" w:hAnsi="宋体" w:cs="宋体"/>
                <w:bCs/>
                <w:szCs w:val="21"/>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2276" w:type="dxa"/>
            <w:vAlign w:val="center"/>
          </w:tcPr>
          <w:p>
            <w:pPr>
              <w:spacing w:line="360" w:lineRule="auto"/>
              <w:jc w:val="center"/>
              <w:rPr>
                <w:rFonts w:ascii="宋体" w:hAnsi="宋体" w:cs="宋体"/>
                <w:bCs/>
                <w:szCs w:val="21"/>
              </w:rPr>
            </w:pPr>
            <w:r>
              <w:rPr>
                <w:rFonts w:hint="eastAsia" w:ascii="宋体" w:hAnsi="宋体" w:cs="宋体"/>
                <w:bCs/>
                <w:szCs w:val="21"/>
              </w:rPr>
              <w:t>托管人住所</w:t>
            </w:r>
          </w:p>
        </w:tc>
        <w:tc>
          <w:tcPr>
            <w:tcW w:w="7578" w:type="dxa"/>
          </w:tcPr>
          <w:p>
            <w:pPr>
              <w:spacing w:line="360" w:lineRule="auto"/>
              <w:jc w:val="left"/>
              <w:rPr>
                <w:rFonts w:ascii="宋体" w:hAnsi="宋体" w:cs="宋体"/>
                <w:bCs/>
                <w:szCs w:val="21"/>
              </w:rPr>
            </w:pPr>
            <w:r>
              <w:rPr>
                <w:rFonts w:hint="eastAsia" w:ascii="宋体" w:hAnsi="宋体" w:cs="宋体"/>
                <w:bCs/>
                <w:szCs w:val="21"/>
              </w:rPr>
              <w:t>杭州市庆春路46号杭州银行大厦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2276" w:type="dxa"/>
            <w:vAlign w:val="center"/>
          </w:tcPr>
          <w:p>
            <w:pPr>
              <w:spacing w:line="360" w:lineRule="auto"/>
              <w:jc w:val="center"/>
              <w:rPr>
                <w:rFonts w:ascii="宋体" w:hAnsi="宋体" w:cs="宋体"/>
                <w:bCs/>
                <w:szCs w:val="21"/>
              </w:rPr>
            </w:pPr>
            <w:r>
              <w:rPr>
                <w:rFonts w:hint="eastAsia" w:ascii="宋体" w:hAnsi="宋体" w:cs="宋体"/>
                <w:bCs/>
                <w:szCs w:val="21"/>
              </w:rPr>
              <w:t>托管人职责</w:t>
            </w:r>
          </w:p>
        </w:tc>
        <w:tc>
          <w:tcPr>
            <w:tcW w:w="7578" w:type="dxa"/>
          </w:tcPr>
          <w:p>
            <w:pPr>
              <w:spacing w:line="360" w:lineRule="auto"/>
              <w:jc w:val="left"/>
              <w:rPr>
                <w:rFonts w:ascii="宋体" w:hAnsi="宋体" w:cs="宋体"/>
                <w:bCs/>
                <w:szCs w:val="21"/>
              </w:rPr>
            </w:pPr>
            <w:r>
              <w:rPr>
                <w:rFonts w:hint="eastAsia" w:ascii="宋体" w:hAnsi="宋体" w:cs="宋体"/>
                <w:bCs/>
                <w:szCs w:val="21"/>
              </w:rPr>
              <w:t>主要提供包括账户开立、资金保管、资金结算、估值核对等理财产品托管服务。</w:t>
            </w:r>
          </w:p>
        </w:tc>
      </w:tr>
    </w:tbl>
    <w:p>
      <w:pPr>
        <w:spacing w:line="300" w:lineRule="auto"/>
        <w:rPr>
          <w:rFonts w:ascii="宋体" w:hAnsi="宋体" w:cs="宋体"/>
          <w:color w:val="000000"/>
          <w:kern w:val="0"/>
          <w:szCs w:val="21"/>
        </w:rPr>
      </w:pPr>
    </w:p>
    <w:p>
      <w:pPr>
        <w:spacing w:line="300" w:lineRule="auto"/>
        <w:ind w:firstLine="424" w:firstLineChars="202"/>
        <w:rPr>
          <w:rFonts w:hint="eastAsia" w:ascii="宋体" w:hAnsi="Wingdings" w:cs="宋体"/>
          <w:color w:val="000000"/>
          <w:kern w:val="0"/>
        </w:rPr>
      </w:pPr>
      <w:r>
        <w:rPr>
          <w:rFonts w:hint="eastAsia" w:ascii="宋体" w:hAnsi="Wingdings" w:cs="宋体"/>
          <w:color w:val="000000"/>
          <w:kern w:val="0"/>
        </w:rPr>
        <w:t>（二）销售机构</w:t>
      </w:r>
    </w:p>
    <w:tbl>
      <w:tblPr>
        <w:tblStyle w:val="8"/>
        <w:tblW w:w="0" w:type="auto"/>
        <w:tblInd w:w="0" w:type="dxa"/>
        <w:tblLayout w:type="fixed"/>
        <w:tblCellMar>
          <w:top w:w="0" w:type="dxa"/>
          <w:left w:w="108" w:type="dxa"/>
          <w:bottom w:w="0" w:type="dxa"/>
          <w:right w:w="108" w:type="dxa"/>
        </w:tblCellMar>
      </w:tblPr>
      <w:tblGrid>
        <w:gridCol w:w="948"/>
        <w:gridCol w:w="2564"/>
        <w:gridCol w:w="2582"/>
        <w:gridCol w:w="3760"/>
      </w:tblGrid>
      <w:tr>
        <w:tblPrEx>
          <w:tblCellMar>
            <w:top w:w="0" w:type="dxa"/>
            <w:left w:w="108" w:type="dxa"/>
            <w:bottom w:w="0" w:type="dxa"/>
            <w:right w:w="108" w:type="dxa"/>
          </w:tblCellMar>
        </w:tblPrEx>
        <w:trPr>
          <w:trHeight w:val="285" w:hRule="atLeast"/>
        </w:trPr>
        <w:tc>
          <w:tcPr>
            <w:tcW w:w="948" w:type="dxa"/>
            <w:vMerge w:val="restart"/>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销售机构信息</w:t>
            </w:r>
          </w:p>
        </w:tc>
        <w:tc>
          <w:tcPr>
            <w:tcW w:w="2564" w:type="dxa"/>
            <w:vMerge w:val="restart"/>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杭州银行股份有限公司</w:t>
            </w:r>
          </w:p>
        </w:tc>
        <w:tc>
          <w:tcPr>
            <w:tcW w:w="2582" w:type="dxa"/>
            <w:tcBorders>
              <w:top w:val="single" w:color="auto" w:sz="4" w:space="0"/>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住所</w:t>
            </w:r>
          </w:p>
        </w:tc>
        <w:tc>
          <w:tcPr>
            <w:tcW w:w="3760" w:type="dxa"/>
            <w:tcBorders>
              <w:top w:val="single" w:color="auto" w:sz="4" w:space="0"/>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杭州市庆春路46号杭州银行大厦</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95398</w:t>
            </w:r>
          </w:p>
        </w:tc>
      </w:tr>
      <w:tr>
        <w:tblPrEx>
          <w:tblCellMar>
            <w:top w:w="0" w:type="dxa"/>
            <w:left w:w="108" w:type="dxa"/>
            <w:bottom w:w="0" w:type="dxa"/>
            <w:right w:w="108" w:type="dxa"/>
          </w:tblCellMar>
        </w:tblPrEx>
        <w:trPr>
          <w:trHeight w:val="510"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兴业银行股份有限公司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福建省福州市台江区江滨中大道398号兴业银行大厦</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95561</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江苏银行股份有限公司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江苏省南京市中华路26号</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95319</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苏州银行股份有限公司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江苏省苏州工业园区钟园路728号</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96067</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厦门银行股份有限公司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厦门市思明区湖滨北路101号商业银行大厦</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客服热线</w:t>
            </w:r>
          </w:p>
        </w:tc>
        <w:tc>
          <w:tcPr>
            <w:tcW w:w="3760"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400-858-8888</w:t>
            </w:r>
          </w:p>
        </w:tc>
      </w:tr>
      <w:tr>
        <w:tblPrEx>
          <w:tblCellMar>
            <w:top w:w="0" w:type="dxa"/>
            <w:left w:w="108" w:type="dxa"/>
            <w:bottom w:w="0" w:type="dxa"/>
            <w:right w:w="108" w:type="dxa"/>
          </w:tblCellMar>
        </w:tblPrEx>
        <w:trPr>
          <w:trHeight w:val="510"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厦门国际银行股份有限公司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厦门市思明区鹭江道8-10号国际银行大厦1-6层</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400-1623-623</w:t>
            </w:r>
          </w:p>
        </w:tc>
      </w:tr>
      <w:tr>
        <w:tblPrEx>
          <w:tblCellMar>
            <w:top w:w="0" w:type="dxa"/>
            <w:left w:w="108" w:type="dxa"/>
            <w:bottom w:w="0" w:type="dxa"/>
            <w:right w:w="108" w:type="dxa"/>
          </w:tblCellMar>
        </w:tblPrEx>
        <w:trPr>
          <w:trHeight w:val="510"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富邦华一银行有限公司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中国(上海)自由贸易试验区世纪大道1168号A座101室、18楼、19楼及20楼</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8621—962811</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宁波鄞州农村商业银行股份有限公司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浙江省宁波市鄞州区民惠西路88号</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956058</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日照银行股份有限公司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日照市烟台路197号</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400-68-96588</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济宁银行股份有限公司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济宁市金宇路6号</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400-677-0537</w:t>
            </w:r>
          </w:p>
        </w:tc>
      </w:tr>
      <w:tr>
        <w:tblPrEx>
          <w:tblCellMar>
            <w:top w:w="0" w:type="dxa"/>
            <w:left w:w="108" w:type="dxa"/>
            <w:bottom w:w="0" w:type="dxa"/>
            <w:right w:w="108" w:type="dxa"/>
          </w:tblCellMar>
        </w:tblPrEx>
        <w:trPr>
          <w:trHeight w:val="510"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深圳前海微众银行股份有限公司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广东省深圳市南山区沙河西路1819号深圳湾科技生态园7栋A座</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95384</w:t>
            </w:r>
          </w:p>
        </w:tc>
      </w:tr>
      <w:tr>
        <w:tblPrEx>
          <w:tblCellMar>
            <w:top w:w="0" w:type="dxa"/>
            <w:left w:w="108" w:type="dxa"/>
            <w:bottom w:w="0" w:type="dxa"/>
            <w:right w:w="108" w:type="dxa"/>
          </w:tblCellMar>
        </w:tblPrEx>
        <w:trPr>
          <w:trHeight w:val="510"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吉林亿联银行股份有限公司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吉林省长春市南关区人民大街10606号东北亚国际金融中心一期北楼</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4000-156-999</w:t>
            </w:r>
          </w:p>
        </w:tc>
      </w:tr>
      <w:tr>
        <w:tblPrEx>
          <w:tblCellMar>
            <w:top w:w="0" w:type="dxa"/>
            <w:left w:w="108" w:type="dxa"/>
            <w:bottom w:w="0" w:type="dxa"/>
            <w:right w:w="108" w:type="dxa"/>
          </w:tblCellMar>
        </w:tblPrEx>
        <w:trPr>
          <w:trHeight w:val="510"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重庆富民银行股份有限公司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重庆市渝北区财富东路2号涉外商务区一期B1栋</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4008－108－999</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中信百信银行股份有限公司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北京市朝阳区安定路5号院3号楼8层</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400-818-0100</w:t>
            </w:r>
          </w:p>
        </w:tc>
      </w:tr>
      <w:tr>
        <w:tblPrEx>
          <w:tblCellMar>
            <w:top w:w="0" w:type="dxa"/>
            <w:left w:w="108" w:type="dxa"/>
            <w:bottom w:w="0" w:type="dxa"/>
            <w:right w:w="108" w:type="dxa"/>
          </w:tblCellMar>
        </w:tblPrEx>
        <w:trPr>
          <w:trHeight w:val="510"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江苏苏宁银行股份有限公司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南京市建邺区庐山路248号4号楼7、8、9、27、28、29层，4号楼裙楼第1、2层</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95177</w:t>
            </w:r>
          </w:p>
        </w:tc>
      </w:tr>
      <w:tr>
        <w:tblPrEx>
          <w:tblCellMar>
            <w:top w:w="0" w:type="dxa"/>
            <w:left w:w="108" w:type="dxa"/>
            <w:bottom w:w="0" w:type="dxa"/>
            <w:right w:w="108" w:type="dxa"/>
          </w:tblCellMar>
        </w:tblPrEx>
        <w:trPr>
          <w:trHeight w:val="510"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石嘴山银行股份有限公司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宁夏回族自治区石嘴山市大武口区朝阳西街39号</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0951-96789</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北京农村商业银行股份有限公司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北京市西城区月坛南街1号院2号楼</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96198</w:t>
            </w:r>
          </w:p>
        </w:tc>
      </w:tr>
      <w:tr>
        <w:tblPrEx>
          <w:tblCellMar>
            <w:top w:w="0" w:type="dxa"/>
            <w:left w:w="108" w:type="dxa"/>
            <w:bottom w:w="0" w:type="dxa"/>
            <w:right w:w="108" w:type="dxa"/>
          </w:tblCellMar>
        </w:tblPrEx>
        <w:trPr>
          <w:trHeight w:val="510"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中信银行股份有限公司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北京市朝阳区光华路10号院1号楼6-30层、32-42层</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95558</w:t>
            </w:r>
          </w:p>
        </w:tc>
      </w:tr>
      <w:tr>
        <w:tblPrEx>
          <w:tblCellMar>
            <w:top w:w="0" w:type="dxa"/>
            <w:left w:w="108" w:type="dxa"/>
            <w:bottom w:w="0" w:type="dxa"/>
            <w:right w:w="108" w:type="dxa"/>
          </w:tblCellMar>
        </w:tblPrEx>
        <w:trPr>
          <w:trHeight w:val="510"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南洋商业银行（中国）有限公司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中国(上海)自由贸易试验区浦明路898号13层至16层、18层至20层</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95327</w:t>
            </w:r>
          </w:p>
        </w:tc>
      </w:tr>
      <w:tr>
        <w:tblPrEx>
          <w:tblCellMar>
            <w:top w:w="0" w:type="dxa"/>
            <w:left w:w="108" w:type="dxa"/>
            <w:bottom w:w="0" w:type="dxa"/>
            <w:right w:w="108" w:type="dxa"/>
          </w:tblCellMar>
        </w:tblPrEx>
        <w:trPr>
          <w:trHeight w:val="76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广东南粤银行股份有限公司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湛江经济技术开发区乐山路27号财富汇金融中心1层01、02号商铺、2层01号商铺、3层01号商铺、39-45层办公室</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4000-961818</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齐鲁银行股份有限公司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山东省济南市历下区经十路10817号</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400-609-6588</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长沙银行股份有限公司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长沙市岳麓区滨江路53号楷林商务中心B座</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0731-96511</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东莞银行股份有限公司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东莞市莞城区体育路21号</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956033</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汉口银行股份有限公司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江汉区建设大道933号武汉商业银行大厦</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400-609-6558</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九江银行股份有限公司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江西省九江市濂溪区长虹大道619号</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95316</w:t>
            </w:r>
          </w:p>
        </w:tc>
      </w:tr>
      <w:tr>
        <w:tblPrEx>
          <w:tblCellMar>
            <w:top w:w="0" w:type="dxa"/>
            <w:left w:w="108" w:type="dxa"/>
            <w:bottom w:w="0" w:type="dxa"/>
            <w:right w:w="108" w:type="dxa"/>
          </w:tblCellMar>
        </w:tblPrEx>
        <w:trPr>
          <w:trHeight w:val="510"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湖南三湘银行股份有限公司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长沙市岳麓区滨江路53号湖南湘江新区滨江金融中心楷林国际D座</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0731-96500</w:t>
            </w:r>
          </w:p>
        </w:tc>
      </w:tr>
      <w:tr>
        <w:tblPrEx>
          <w:tblCellMar>
            <w:top w:w="0" w:type="dxa"/>
            <w:left w:w="108" w:type="dxa"/>
            <w:bottom w:w="0" w:type="dxa"/>
            <w:right w:w="108" w:type="dxa"/>
          </w:tblCellMar>
        </w:tblPrEx>
        <w:trPr>
          <w:trHeight w:val="510"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澳门国际银行股份有限公司广州分行</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广州市天河区珠江新城华夏路8号合景国际金融广场1层104房、34层3401房、35层3501房</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020-28089999</w:t>
            </w:r>
          </w:p>
        </w:tc>
      </w:tr>
      <w:tr>
        <w:tblPrEx>
          <w:tblCellMar>
            <w:top w:w="0" w:type="dxa"/>
            <w:left w:w="108" w:type="dxa"/>
            <w:bottom w:w="0" w:type="dxa"/>
            <w:right w:w="108" w:type="dxa"/>
          </w:tblCellMar>
        </w:tblPrEx>
        <w:trPr>
          <w:trHeight w:val="510"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贵阳银行股份有限公司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贵州省贵阳市观山湖区长岭北路中天•会展城B区金融商务区东区1-6栋</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40011-96033</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甘肃银行股份有限公司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甘肃省兰州市城关区东岗西路525—1号</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4008696666</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东营银行股份有限公司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山东省东营市东营区府前大街87-1号</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4006296588</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浙商银行股份有限公司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浙江省杭州市萧山区鸿宁路1788号</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95527</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江苏紫金农村商业银行股份有限公司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江苏省南京市建邺区江东中路381号</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96008</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烟台银行股份有限公司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烟台市芝罘区海港路25号</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4008-311-777</w:t>
            </w:r>
          </w:p>
        </w:tc>
      </w:tr>
      <w:tr>
        <w:tblPrEx>
          <w:tblCellMar>
            <w:top w:w="0" w:type="dxa"/>
            <w:left w:w="108" w:type="dxa"/>
            <w:bottom w:w="0" w:type="dxa"/>
            <w:right w:w="108" w:type="dxa"/>
          </w:tblCellMar>
        </w:tblPrEx>
        <w:trPr>
          <w:trHeight w:val="540"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宁波东海银行股份有限公司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浙江省宁波市鄞州区和济街181号1幢4、5、6、7层</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4008866345</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杭银理财有限责任公司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浙江省杭州市下城区庆春路38号金龙财富中心</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4008950999</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left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四川天府银行股份有限公司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四川省南充市顺庆区滨江中路一段97号26栋</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400-16-96869</w:t>
            </w:r>
          </w:p>
        </w:tc>
      </w:tr>
      <w:tr>
        <w:tblPrEx>
          <w:tblCellMar>
            <w:top w:w="0" w:type="dxa"/>
            <w:left w:w="108" w:type="dxa"/>
            <w:bottom w:w="0" w:type="dxa"/>
            <w:right w:w="108" w:type="dxa"/>
          </w:tblCellMar>
        </w:tblPrEx>
        <w:trPr>
          <w:trHeight w:val="367"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2564"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江苏常熟农村商业银行股份有限公司</w:t>
            </w: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住所</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江苏省常熟市新世纪大道58号</w:t>
            </w:r>
          </w:p>
        </w:tc>
      </w:tr>
      <w:tr>
        <w:tblPrEx>
          <w:tblCellMar>
            <w:top w:w="0" w:type="dxa"/>
            <w:left w:w="108" w:type="dxa"/>
            <w:bottom w:w="0" w:type="dxa"/>
            <w:right w:w="108" w:type="dxa"/>
          </w:tblCellMar>
        </w:tblPrEx>
        <w:trPr>
          <w:trHeight w:val="285"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582"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客服热线</w:t>
            </w:r>
          </w:p>
        </w:tc>
        <w:tc>
          <w:tcPr>
            <w:tcW w:w="376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956020</w:t>
            </w:r>
          </w:p>
        </w:tc>
      </w:tr>
      <w:tr>
        <w:tblPrEx>
          <w:tblCellMar>
            <w:top w:w="0" w:type="dxa"/>
            <w:left w:w="108" w:type="dxa"/>
            <w:bottom w:w="0" w:type="dxa"/>
            <w:right w:w="108" w:type="dxa"/>
          </w:tblCellMar>
        </w:tblPrEx>
        <w:trPr>
          <w:trHeight w:val="510" w:hRule="atLeast"/>
        </w:trPr>
        <w:tc>
          <w:tcPr>
            <w:tcW w:w="948"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销售机构职责</w:t>
            </w:r>
          </w:p>
        </w:tc>
        <w:tc>
          <w:tcPr>
            <w:tcW w:w="8906" w:type="dxa"/>
            <w:gridSpan w:val="3"/>
            <w:tcBorders>
              <w:top w:val="single" w:color="auto" w:sz="4" w:space="0"/>
              <w:left w:val="nil"/>
              <w:bottom w:val="single" w:color="auto" w:sz="4" w:space="0"/>
              <w:right w:val="single" w:color="auto" w:sz="4" w:space="0"/>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主要负责理财计划推广、投资者风险承受能力评估、投资者适当性管理、理财计划份额认购、申购及赎回办理。</w:t>
            </w:r>
            <w:r>
              <w:rPr>
                <w:rFonts w:hint="eastAsia" w:ascii="宋体" w:hAnsi="宋体" w:cs="宋体"/>
                <w:color w:val="000000"/>
                <w:kern w:val="0"/>
                <w:szCs w:val="21"/>
              </w:rPr>
              <w:br w:type="textWrapping"/>
            </w:r>
            <w:r>
              <w:rPr>
                <w:rFonts w:hint="eastAsia" w:ascii="宋体" w:hAnsi="宋体" w:cs="宋体"/>
                <w:color w:val="000000"/>
                <w:kern w:val="0"/>
                <w:szCs w:val="21"/>
              </w:rPr>
              <w:t>协助管理人负责与投资者签订理财计划合同、与投资者沟通及进行信息披露、接受投资者咨询和客户维护等销售服务。</w:t>
            </w:r>
          </w:p>
        </w:tc>
      </w:tr>
    </w:tbl>
    <w:p/>
    <w:p>
      <w:r>
        <w:br w:type="page"/>
      </w:r>
    </w:p>
    <w:p>
      <w:pPr>
        <w:spacing w:line="360" w:lineRule="auto"/>
        <w:jc w:val="center"/>
        <w:rPr>
          <w:rFonts w:ascii="宋体" w:hAnsi="宋体"/>
          <w:b/>
          <w:bCs/>
          <w:color w:val="000000"/>
          <w:sz w:val="32"/>
          <w:szCs w:val="32"/>
        </w:rPr>
      </w:pPr>
      <w:r>
        <w:rPr>
          <w:rFonts w:hint="eastAsia" w:ascii="宋体" w:hAnsi="宋体"/>
          <w:b/>
          <w:bCs/>
          <w:color w:val="000000"/>
          <w:sz w:val="32"/>
          <w:szCs w:val="32"/>
        </w:rPr>
        <w:t>杭银理财投资者权益须知</w:t>
      </w:r>
    </w:p>
    <w:p>
      <w:pPr>
        <w:jc w:val="center"/>
        <w:rPr>
          <w:rFonts w:hint="eastAsia" w:ascii="宋体" w:hAnsi="宋体"/>
          <w:b/>
          <w:bCs/>
          <w:color w:val="000000"/>
        </w:rPr>
      </w:pPr>
      <w:r>
        <w:rPr>
          <w:rFonts w:hint="eastAsia" w:ascii="宋体" w:hAnsi="宋体"/>
        </w:rPr>
        <w:t>（202101版）</w:t>
      </w:r>
    </w:p>
    <w:p>
      <w:pPr>
        <w:spacing w:line="360" w:lineRule="auto"/>
        <w:jc w:val="center"/>
        <w:rPr>
          <w:rFonts w:hint="eastAsia" w:ascii="宋体" w:hAnsi="宋体"/>
          <w:b/>
          <w:bCs/>
          <w:u w:val="single"/>
        </w:rPr>
      </w:pPr>
      <w:r>
        <w:rPr>
          <w:rFonts w:hint="eastAsia" w:ascii="宋体" w:hAnsi="宋体"/>
          <w:b/>
          <w:bCs/>
          <w:u w:val="single"/>
        </w:rPr>
        <w:t>理财非存款、产品有风险、投资须谨慎</w:t>
      </w:r>
    </w:p>
    <w:p>
      <w:pPr>
        <w:spacing w:line="360" w:lineRule="auto"/>
        <w:rPr>
          <w:rFonts w:hint="eastAsia" w:ascii="宋体" w:hAnsi="宋体"/>
          <w:kern w:val="0"/>
        </w:rPr>
      </w:pPr>
      <w:r>
        <w:rPr>
          <w:rFonts w:hint="eastAsia" w:ascii="宋体" w:hAnsi="宋体"/>
          <w:kern w:val="0"/>
        </w:rPr>
        <w:t>尊敬的投资者：</w:t>
      </w:r>
    </w:p>
    <w:p>
      <w:pPr>
        <w:spacing w:line="360" w:lineRule="auto"/>
        <w:ind w:firstLine="420" w:firstLineChars="200"/>
        <w:rPr>
          <w:rFonts w:hint="eastAsia" w:ascii="宋体" w:hAnsi="宋体"/>
          <w:kern w:val="0"/>
        </w:rPr>
      </w:pPr>
      <w:r>
        <w:rPr>
          <w:rFonts w:hint="eastAsia" w:ascii="宋体" w:hAnsi="宋体"/>
          <w:kern w:val="0"/>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spacing w:line="360" w:lineRule="auto"/>
        <w:ind w:left="420"/>
        <w:rPr>
          <w:rFonts w:hint="eastAsia" w:ascii="宋体" w:hAnsi="宋体"/>
          <w:b/>
          <w:bCs/>
          <w:kern w:val="0"/>
        </w:rPr>
      </w:pPr>
      <w:r>
        <w:rPr>
          <w:rFonts w:hint="eastAsia" w:ascii="宋体" w:hAnsi="宋体"/>
          <w:b/>
          <w:bCs/>
          <w:kern w:val="0"/>
        </w:rPr>
        <w:t>一、理财计划办理流程</w:t>
      </w:r>
    </w:p>
    <w:p>
      <w:pPr>
        <w:spacing w:line="360" w:lineRule="auto"/>
        <w:ind w:firstLine="420"/>
        <w:rPr>
          <w:rFonts w:hint="eastAsia" w:ascii="宋体" w:hAnsi="宋体"/>
          <w:kern w:val="0"/>
        </w:rPr>
      </w:pPr>
      <w:r>
        <w:rPr>
          <w:rFonts w:hint="eastAsia" w:ascii="宋体" w:hAnsi="宋体"/>
          <w:kern w:val="0"/>
        </w:rPr>
        <w:t>（一）首次在销售机构购买理财的投资者须开立或持有销售机构账户，提供真实身份信息并确认正确的联系方式；该账户用于本理财计划的资金划转及兑付，您应确保持有本理财计划期间指定账户不做销户。</w:t>
      </w:r>
    </w:p>
    <w:p>
      <w:pPr>
        <w:spacing w:line="360" w:lineRule="auto"/>
        <w:ind w:firstLine="420"/>
        <w:rPr>
          <w:rFonts w:hint="eastAsia" w:ascii="宋体" w:hAnsi="宋体"/>
          <w:kern w:val="0"/>
        </w:rPr>
      </w:pPr>
      <w:r>
        <w:rPr>
          <w:rFonts w:hint="eastAsia" w:ascii="宋体" w:hAnsi="宋体"/>
          <w:kern w:val="0"/>
        </w:rPr>
        <w:t>（二）首次在销售机构购买杭银理财理财计划的个人投资者须接受并完成销售机构对您的风险承受能力评估，并确认风险承受能力等级不低于本理财计划风险评级。</w:t>
      </w:r>
    </w:p>
    <w:p>
      <w:pPr>
        <w:spacing w:line="360" w:lineRule="auto"/>
        <w:ind w:firstLine="420"/>
        <w:rPr>
          <w:rFonts w:hint="eastAsia" w:ascii="宋体" w:hAnsi="宋体"/>
          <w:kern w:val="0"/>
        </w:rPr>
      </w:pPr>
      <w:r>
        <w:rPr>
          <w:rFonts w:hint="eastAsia" w:ascii="宋体" w:hAnsi="宋体"/>
          <w:kern w:val="0"/>
        </w:rPr>
        <w:t>（三）投资者应仔细阅读本理财计划完整合同（包括但不限于风险揭示书、理财计划产品说明书、投资者权益须知、理财计划投资协议书和理财计划销售协议书）等相关协议文件，确认对理财计划条款及风险理解并无疑问和异议后，自主作出认（申）购和赎回决定，独立抄录风险确认语句并签署相关销售文件，办理理财计划交易手续，自主承担投资风险。</w:t>
      </w:r>
    </w:p>
    <w:p>
      <w:pPr>
        <w:spacing w:line="360" w:lineRule="auto"/>
        <w:ind w:firstLine="420"/>
        <w:rPr>
          <w:rFonts w:hint="eastAsia" w:ascii="宋体" w:hAnsi="宋体"/>
          <w:kern w:val="0"/>
        </w:rPr>
      </w:pPr>
      <w:r>
        <w:rPr>
          <w:rFonts w:hint="eastAsia" w:ascii="宋体" w:hAnsi="宋体"/>
          <w:kern w:val="0"/>
        </w:rPr>
        <w:t>（四）如在银行营业场所购买杭银理财理财计划，销售机构需对每笔理财计划销售过程同步录音录像。</w:t>
      </w:r>
    </w:p>
    <w:p>
      <w:pPr>
        <w:spacing w:line="360" w:lineRule="auto"/>
        <w:ind w:left="420"/>
        <w:rPr>
          <w:rFonts w:hint="eastAsia" w:ascii="宋体" w:hAnsi="宋体"/>
          <w:kern w:val="0"/>
        </w:rPr>
      </w:pPr>
      <w:r>
        <w:rPr>
          <w:rFonts w:hint="eastAsia" w:ascii="宋体" w:hAnsi="宋体"/>
          <w:kern w:val="0"/>
        </w:rPr>
        <w:t>（五）投资者确定交易金额，完成交易申请，并在确认份额后进行查询。</w:t>
      </w:r>
    </w:p>
    <w:p>
      <w:pPr>
        <w:spacing w:line="360" w:lineRule="auto"/>
        <w:ind w:left="420"/>
        <w:rPr>
          <w:rFonts w:hint="eastAsia" w:ascii="宋体" w:hAnsi="宋体"/>
          <w:b/>
          <w:bCs/>
          <w:kern w:val="0"/>
        </w:rPr>
      </w:pPr>
      <w:r>
        <w:rPr>
          <w:rFonts w:hint="eastAsia" w:ascii="宋体" w:hAnsi="宋体"/>
          <w:b/>
          <w:bCs/>
          <w:kern w:val="0"/>
        </w:rPr>
        <w:t>二、杭银理财产品风险评级</w:t>
      </w:r>
    </w:p>
    <w:p>
      <w:pPr>
        <w:spacing w:line="360" w:lineRule="auto"/>
        <w:ind w:firstLine="420" w:firstLineChars="200"/>
        <w:rPr>
          <w:rFonts w:hint="eastAsia" w:ascii="宋体" w:hAnsi="宋体"/>
          <w:kern w:val="0"/>
        </w:rPr>
      </w:pPr>
      <w:r>
        <w:rPr>
          <w:rFonts w:hint="eastAsia" w:ascii="宋体" w:hAnsi="宋体"/>
          <w:kern w:val="0"/>
        </w:rPr>
        <w:t>产品类型按照风险由低到高依次划分为低风险（R1）、中低风险（R2）、中等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p>
      <w:pPr>
        <w:spacing w:line="360" w:lineRule="auto"/>
        <w:ind w:firstLine="420" w:firstLineChars="200"/>
        <w:rPr>
          <w:rFonts w:hint="eastAsia" w:ascii="宋体" w:hAnsi="宋体"/>
          <w:kern w:val="0"/>
        </w:rPr>
      </w:pP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bCs/>
                <w:kern w:val="0"/>
              </w:rPr>
            </w:pPr>
            <w:r>
              <w:rPr>
                <w:rFonts w:hint="eastAsia" w:ascii="宋体" w:hAnsi="宋体"/>
                <w:b/>
                <w:bCs/>
                <w:kern w:val="0"/>
              </w:rPr>
              <w:t>产品风险等级</w:t>
            </w:r>
          </w:p>
        </w:tc>
        <w:tc>
          <w:tcPr>
            <w:tcW w:w="4287"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b/>
                <w:bCs/>
                <w:kern w:val="0"/>
              </w:rPr>
            </w:pPr>
            <w:r>
              <w:rPr>
                <w:rFonts w:hint="eastAsia" w:ascii="宋体" w:hAnsi="宋体"/>
                <w:b/>
                <w:bCs/>
                <w:kern w:val="0"/>
              </w:rPr>
              <w:t>风险等级说明</w:t>
            </w:r>
          </w:p>
        </w:tc>
        <w:tc>
          <w:tcPr>
            <w:tcW w:w="2490"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b/>
                <w:bCs/>
                <w:kern w:val="0"/>
              </w:rPr>
            </w:pPr>
            <w:r>
              <w:rPr>
                <w:rFonts w:hint="eastAsia" w:ascii="宋体" w:hAnsi="宋体"/>
                <w:b/>
                <w:bCs/>
                <w:kern w:val="0"/>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kern w:val="0"/>
              </w:rPr>
            </w:pPr>
            <w:r>
              <w:rPr>
                <w:rFonts w:hint="eastAsia" w:ascii="宋体" w:hAnsi="宋体"/>
                <w:kern w:val="0"/>
              </w:rPr>
              <w:t>R1</w:t>
            </w:r>
          </w:p>
        </w:tc>
        <w:tc>
          <w:tcPr>
            <w:tcW w:w="4287"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产品总体风险程度低，收益波动小，产品本金安全性高，收益不能实现的可能性很小</w:t>
            </w:r>
          </w:p>
        </w:tc>
        <w:tc>
          <w:tcPr>
            <w:tcW w:w="2490"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kern w:val="0"/>
              </w:rPr>
            </w:pPr>
            <w:r>
              <w:rPr>
                <w:rFonts w:hint="eastAsia" w:ascii="宋体" w:hAnsi="宋体"/>
                <w:kern w:val="0"/>
              </w:rPr>
              <w:t>R2</w:t>
            </w:r>
          </w:p>
        </w:tc>
        <w:tc>
          <w:tcPr>
            <w:tcW w:w="4287"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kern w:val="0"/>
              </w:rPr>
            </w:pPr>
            <w:r>
              <w:rPr>
                <w:rFonts w:hint="eastAsia" w:ascii="宋体" w:hAnsi="宋体"/>
                <w:kern w:val="0"/>
              </w:rPr>
              <w:t>R3</w:t>
            </w:r>
          </w:p>
        </w:tc>
        <w:tc>
          <w:tcPr>
            <w:tcW w:w="4287"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产品总体风险程度适中，收益存在一定的波动，产品本金出现损失的可能性不容忽视</w:t>
            </w:r>
          </w:p>
        </w:tc>
        <w:tc>
          <w:tcPr>
            <w:tcW w:w="2490"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kern w:val="0"/>
              </w:rPr>
            </w:pPr>
            <w:r>
              <w:rPr>
                <w:rFonts w:hint="eastAsia" w:ascii="宋体" w:hAnsi="宋体"/>
                <w:kern w:val="0"/>
              </w:rPr>
              <w:t>R4</w:t>
            </w:r>
          </w:p>
        </w:tc>
        <w:tc>
          <w:tcPr>
            <w:tcW w:w="4287"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产品总体风险程度较高，收益波动较明显，产品本金出现损失的可能性高</w:t>
            </w:r>
          </w:p>
        </w:tc>
        <w:tc>
          <w:tcPr>
            <w:tcW w:w="2490"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kern w:val="0"/>
              </w:rPr>
            </w:pPr>
            <w:r>
              <w:rPr>
                <w:rFonts w:hint="eastAsia" w:ascii="宋体" w:hAnsi="宋体"/>
                <w:kern w:val="0"/>
              </w:rPr>
              <w:t>R5</w:t>
            </w:r>
          </w:p>
        </w:tc>
        <w:tc>
          <w:tcPr>
            <w:tcW w:w="4287"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产品总体风险程度高，收益波动明显，产品本金出现损失的可能性很高，产品本金出现全部损失的可能性不容忽视</w:t>
            </w:r>
          </w:p>
        </w:tc>
        <w:tc>
          <w:tcPr>
            <w:tcW w:w="2490"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机构投资者及进取型的个人投资者</w:t>
            </w:r>
          </w:p>
        </w:tc>
      </w:tr>
    </w:tbl>
    <w:p>
      <w:pPr>
        <w:spacing w:line="360" w:lineRule="auto"/>
        <w:ind w:left="420"/>
        <w:rPr>
          <w:rFonts w:hint="eastAsia" w:ascii="宋体" w:hAnsi="宋体"/>
          <w:b/>
          <w:bCs/>
          <w:kern w:val="0"/>
        </w:rPr>
      </w:pPr>
      <w:r>
        <w:rPr>
          <w:rFonts w:hint="eastAsia" w:ascii="宋体" w:hAnsi="宋体"/>
          <w:b/>
          <w:bCs/>
          <w:kern w:val="0"/>
        </w:rPr>
        <w:t>三、投资者风险承受能力评估</w:t>
      </w:r>
    </w:p>
    <w:p>
      <w:pPr>
        <w:spacing w:line="360" w:lineRule="auto"/>
        <w:ind w:firstLine="420"/>
        <w:rPr>
          <w:rFonts w:hint="eastAsia" w:ascii="宋体" w:hAnsi="宋体"/>
          <w:kern w:val="0"/>
        </w:rPr>
      </w:pPr>
      <w:r>
        <w:rPr>
          <w:rFonts w:hint="eastAsia" w:ascii="宋体" w:hAnsi="宋体"/>
          <w:kern w:val="0"/>
        </w:rPr>
        <w:t>（一）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spacing w:line="360" w:lineRule="auto"/>
        <w:ind w:firstLine="420"/>
        <w:rPr>
          <w:rFonts w:hint="eastAsia" w:ascii="宋体" w:hAnsi="宋体"/>
          <w:kern w:val="0"/>
        </w:rPr>
      </w:pPr>
      <w:r>
        <w:rPr>
          <w:rFonts w:hint="eastAsia" w:ascii="宋体" w:hAnsi="宋体"/>
          <w:kern w:val="0"/>
        </w:rPr>
        <w:t>（二）个人投资者风险承受能力评估结果有效期为一年，如风险承受能力评估时效已超过一年，或影响风险承受能力的因素发生变化，请及时完成风险承受能力的重新评估。</w:t>
      </w:r>
    </w:p>
    <w:p>
      <w:pPr>
        <w:spacing w:line="360" w:lineRule="auto"/>
        <w:ind w:left="420"/>
        <w:rPr>
          <w:rFonts w:hint="eastAsia" w:ascii="宋体" w:hAnsi="宋体"/>
          <w:kern w:val="0"/>
        </w:rPr>
      </w:pPr>
      <w:r>
        <w:rPr>
          <w:rFonts w:hint="eastAsia" w:ascii="宋体" w:hAnsi="宋体"/>
          <w:kern w:val="0"/>
        </w:rPr>
        <w:t>（三）个人投资者风险承受能力评估流程（详询销售机构工作人员）</w:t>
      </w:r>
    </w:p>
    <w:p>
      <w:pPr>
        <w:spacing w:line="360" w:lineRule="auto"/>
        <w:ind w:left="400"/>
        <w:rPr>
          <w:rFonts w:hint="eastAsia" w:ascii="宋体" w:hAnsi="宋体"/>
          <w:kern w:val="0"/>
        </w:rPr>
      </w:pPr>
      <w:r>
        <w:rPr>
          <w:rFonts w:hint="cs"/>
          <w:kern w:val="0"/>
        </w:rPr>
        <w:t>1</w:t>
      </w:r>
      <w:r>
        <w:rPr>
          <w:kern w:val="0"/>
        </w:rPr>
        <w:t xml:space="preserve">. </w:t>
      </w:r>
      <w:r>
        <w:rPr>
          <w:rFonts w:hint="eastAsia" w:ascii="宋体" w:hAnsi="宋体"/>
          <w:kern w:val="0"/>
        </w:rPr>
        <w:t>个人投资者在销售机构进行风险承受能力评估；</w:t>
      </w:r>
    </w:p>
    <w:p>
      <w:pPr>
        <w:spacing w:line="360" w:lineRule="auto"/>
        <w:ind w:left="400"/>
        <w:rPr>
          <w:rFonts w:hint="eastAsia" w:ascii="宋体" w:hAnsi="宋体"/>
          <w:kern w:val="0"/>
        </w:rPr>
      </w:pPr>
      <w:r>
        <w:rPr>
          <w:kern w:val="0"/>
        </w:rPr>
        <w:t xml:space="preserve">2. </w:t>
      </w:r>
      <w:r>
        <w:rPr>
          <w:rFonts w:hint="eastAsia" w:ascii="宋体" w:hAnsi="宋体"/>
          <w:kern w:val="0"/>
        </w:rPr>
        <w:t>填写销售机构个人投资者风险承受能力测试问卷；</w:t>
      </w:r>
    </w:p>
    <w:p>
      <w:pPr>
        <w:spacing w:line="360" w:lineRule="auto"/>
        <w:ind w:left="400"/>
        <w:rPr>
          <w:rFonts w:hint="eastAsia" w:ascii="宋体" w:hAnsi="宋体"/>
          <w:kern w:val="0"/>
        </w:rPr>
      </w:pPr>
      <w:r>
        <w:rPr>
          <w:kern w:val="0"/>
        </w:rPr>
        <w:t xml:space="preserve">3. </w:t>
      </w:r>
      <w:r>
        <w:rPr>
          <w:rFonts w:hint="eastAsia" w:ascii="宋体" w:hAnsi="宋体"/>
          <w:kern w:val="0"/>
        </w:rPr>
        <w:t>生成相应的个人投资者风险承受能力评估结果；</w:t>
      </w:r>
    </w:p>
    <w:p>
      <w:pPr>
        <w:spacing w:line="360" w:lineRule="auto"/>
        <w:ind w:left="400"/>
        <w:rPr>
          <w:rFonts w:hint="eastAsia" w:ascii="宋体" w:hAnsi="宋体"/>
          <w:kern w:val="0"/>
        </w:rPr>
      </w:pPr>
      <w:r>
        <w:rPr>
          <w:kern w:val="0"/>
        </w:rPr>
        <w:t xml:space="preserve">4. </w:t>
      </w:r>
      <w:r>
        <w:rPr>
          <w:rFonts w:hint="eastAsia" w:ascii="宋体" w:hAnsi="宋体"/>
          <w:kern w:val="0"/>
        </w:rPr>
        <w:t>投资者对评估结果进行确认。</w:t>
      </w:r>
    </w:p>
    <w:p>
      <w:pPr>
        <w:spacing w:line="360" w:lineRule="auto"/>
        <w:ind w:firstLine="400"/>
        <w:rPr>
          <w:rFonts w:hint="eastAsia" w:ascii="宋体" w:hAnsi="宋体"/>
          <w:kern w:val="0"/>
        </w:rPr>
      </w:pPr>
      <w:r>
        <w:rPr>
          <w:rFonts w:hint="eastAsia" w:ascii="宋体" w:hAnsi="宋体"/>
          <w:kern w:val="0"/>
        </w:rPr>
        <w:t>（四）风险承受能力评估结果将作为评价个人投资者是否适合购买理财计划的重要因素，风险承受能力评级越高适合购买的理财计划风险评级越高，适合购买的理财计划类型越丰富。</w:t>
      </w:r>
    </w:p>
    <w:p>
      <w:pPr>
        <w:spacing w:line="360" w:lineRule="auto"/>
        <w:ind w:firstLine="400"/>
        <w:rPr>
          <w:rFonts w:hint="eastAsia" w:ascii="宋体" w:hAnsi="宋体"/>
          <w:kern w:val="0"/>
        </w:rPr>
      </w:pPr>
      <w:r>
        <w:rPr>
          <w:rFonts w:hint="eastAsia" w:ascii="宋体" w:hAnsi="宋体"/>
          <w:kern w:val="0"/>
        </w:rPr>
        <w:t>（五）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spacing w:line="360" w:lineRule="auto"/>
        <w:ind w:firstLine="400"/>
        <w:rPr>
          <w:rFonts w:hint="eastAsia" w:ascii="宋体" w:hAnsi="宋体"/>
          <w:kern w:val="0"/>
        </w:rPr>
      </w:pPr>
      <w:r>
        <w:rPr>
          <w:rFonts w:hint="eastAsia" w:ascii="宋体" w:hAnsi="宋体"/>
          <w:kern w:val="0"/>
        </w:rPr>
        <w:t>（六）机构投资者购买理财计划前无须进行风险评估能力测试。机构投资者不适用个人投资者的风险承受能力评估，请机构投资者根据自身财务状况、投资风格、资金需求等要素，并在阅读本权益须知、产品说明书和风险揭示书的基础上，充分认识投资本理财计划需要承担的风险。</w:t>
      </w:r>
    </w:p>
    <w:p>
      <w:pPr>
        <w:spacing w:line="360" w:lineRule="auto"/>
        <w:ind w:firstLine="422" w:firstLineChars="200"/>
        <w:rPr>
          <w:rFonts w:hint="eastAsia" w:ascii="宋体" w:hAnsi="宋体"/>
          <w:b/>
          <w:bCs/>
          <w:kern w:val="0"/>
        </w:rPr>
      </w:pPr>
      <w:r>
        <w:rPr>
          <w:rFonts w:hint="eastAsia" w:ascii="宋体" w:hAnsi="宋体"/>
          <w:b/>
          <w:bCs/>
          <w:kern w:val="0"/>
        </w:rPr>
        <w:t>四、理财计划信息披露</w:t>
      </w:r>
    </w:p>
    <w:p>
      <w:pPr>
        <w:spacing w:line="360" w:lineRule="auto"/>
        <w:ind w:firstLine="420" w:firstLineChars="200"/>
        <w:rPr>
          <w:rFonts w:hint="eastAsia" w:ascii="宋体" w:hAnsi="宋体"/>
          <w:kern w:val="0"/>
        </w:rPr>
      </w:pPr>
      <w:r>
        <w:rPr>
          <w:rFonts w:hint="eastAsia" w:ascii="宋体" w:hAnsi="宋体"/>
          <w:kern w:val="0"/>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22" w:firstLineChars="200"/>
        <w:rPr>
          <w:rFonts w:hint="eastAsia" w:ascii="宋体" w:hAnsi="宋体"/>
          <w:b/>
          <w:bCs/>
          <w:kern w:val="0"/>
        </w:rPr>
      </w:pPr>
      <w:r>
        <w:rPr>
          <w:rFonts w:hint="eastAsia" w:ascii="宋体" w:hAnsi="宋体"/>
          <w:b/>
          <w:bCs/>
          <w:kern w:val="0"/>
        </w:rPr>
        <w:t>五、投资者信息管理</w:t>
      </w:r>
    </w:p>
    <w:p>
      <w:pPr>
        <w:spacing w:line="360" w:lineRule="auto"/>
        <w:ind w:firstLine="420" w:firstLineChars="200"/>
        <w:rPr>
          <w:rFonts w:hint="eastAsia" w:ascii="宋体" w:hAnsi="宋体"/>
          <w:kern w:val="0"/>
        </w:rPr>
      </w:pPr>
      <w:r>
        <w:rPr>
          <w:rFonts w:hint="eastAsia" w:ascii="宋体" w:hAnsi="宋体"/>
          <w:kern w:val="0"/>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20" w:firstLineChars="200"/>
        <w:rPr>
          <w:rFonts w:hint="eastAsia" w:ascii="宋体" w:hAnsi="宋体"/>
          <w:kern w:val="0"/>
        </w:rPr>
      </w:pPr>
      <w:r>
        <w:rPr>
          <w:rFonts w:hint="eastAsia" w:ascii="宋体" w:hAnsi="宋体"/>
          <w:kern w:val="0"/>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22" w:firstLineChars="200"/>
        <w:rPr>
          <w:rFonts w:hint="eastAsia" w:ascii="宋体" w:hAnsi="宋体"/>
          <w:b/>
          <w:bCs/>
          <w:kern w:val="0"/>
        </w:rPr>
      </w:pPr>
      <w:r>
        <w:rPr>
          <w:rFonts w:hint="eastAsia" w:ascii="宋体" w:hAnsi="宋体"/>
          <w:b/>
          <w:bCs/>
          <w:kern w:val="0"/>
        </w:rPr>
        <w:t>六、投诉与建议</w:t>
      </w:r>
    </w:p>
    <w:p>
      <w:pPr>
        <w:numPr>
          <w:ilvl w:val="0"/>
          <w:numId w:val="22"/>
        </w:numPr>
        <w:spacing w:line="360" w:lineRule="auto"/>
        <w:rPr>
          <w:rFonts w:hint="eastAsia" w:ascii="宋体" w:hAnsi="宋体"/>
          <w:kern w:val="0"/>
        </w:rPr>
      </w:pPr>
      <w:r>
        <w:rPr>
          <w:rFonts w:hint="eastAsia" w:ascii="宋体" w:hAnsi="宋体"/>
          <w:kern w:val="0"/>
        </w:rPr>
        <w:t>投资者如认为销售机构推介、销售理财计划时有不实或未尽风险告知职责或其它疑义事项，或对理财计划、销售机构及理财计划管理人服务有任何意见或建议，可通过拨打销售机构热线或客服电话进行反馈。销售机构将由专人接听、记录您的意见建议，并由双方协商共同解决。</w:t>
      </w:r>
    </w:p>
    <w:p>
      <w:pPr>
        <w:numPr>
          <w:ilvl w:val="0"/>
          <w:numId w:val="22"/>
        </w:numPr>
        <w:spacing w:line="360" w:lineRule="auto"/>
        <w:rPr>
          <w:rFonts w:hint="eastAsia" w:ascii="宋体" w:hAnsi="宋体"/>
          <w:kern w:val="0"/>
        </w:rPr>
      </w:pPr>
      <w:r>
        <w:rPr>
          <w:rFonts w:hint="eastAsia" w:ascii="宋体" w:hAnsi="宋体"/>
          <w:kern w:val="0"/>
        </w:rPr>
        <w:t>投诉流程及联络方式</w:t>
      </w:r>
    </w:p>
    <w:p>
      <w:pPr>
        <w:spacing w:line="360" w:lineRule="auto"/>
        <w:ind w:firstLine="420" w:firstLineChars="200"/>
        <w:rPr>
          <w:rFonts w:hint="eastAsia" w:ascii="宋体" w:hAnsi="宋体"/>
          <w:kern w:val="0"/>
          <w:lang w:val="zh-CN"/>
        </w:rPr>
      </w:pPr>
      <w:r>
        <w:rPr>
          <w:rFonts w:hint="eastAsia" w:ascii="宋体" w:hAnsi="宋体"/>
          <w:kern w:val="0"/>
          <w:lang w:val="zh-CN"/>
        </w:rPr>
        <w:t>投资者若需投诉，请随时拨打石嘴山银行（销售机构）24小时客户服务热线：96789；投资者也可拨打理财产品销售文件上载明的理财服务人员联系电话、销售网点联系电话进行投诉。</w:t>
      </w:r>
    </w:p>
    <w:p>
      <w:pPr>
        <w:spacing w:line="360" w:lineRule="auto"/>
        <w:ind w:firstLine="420" w:firstLineChars="200"/>
        <w:rPr>
          <w:rFonts w:hint="eastAsia" w:ascii="宋体" w:hAnsi="宋体"/>
          <w:kern w:val="0"/>
          <w:lang w:val="zh-CN"/>
        </w:rPr>
      </w:pPr>
      <w:r>
        <w:rPr>
          <w:rFonts w:hint="eastAsia" w:ascii="宋体" w:hAnsi="宋体"/>
          <w:kern w:val="0"/>
          <w:lang w:val="zh-CN"/>
        </w:rPr>
        <w:t>相关部门和人员将在接到投资者的投诉后，按照以下流程进行处理：核实交易记录和交易情形、调查理财服务人员、形成反馈意见、反馈投资者并征询意见、按一致意见处理投诉等。</w:t>
      </w:r>
    </w:p>
    <w:p>
      <w:pPr>
        <w:spacing w:line="360" w:lineRule="auto"/>
        <w:ind w:firstLine="420" w:firstLineChars="200"/>
        <w:rPr>
          <w:rFonts w:hint="eastAsia" w:ascii="宋体" w:hAnsi="宋体"/>
          <w:kern w:val="0"/>
          <w:lang w:val="zh-CN"/>
        </w:rPr>
      </w:pPr>
      <w:r>
        <w:rPr>
          <w:rFonts w:hint="eastAsia" w:ascii="宋体" w:hAnsi="宋体"/>
          <w:kern w:val="0"/>
        </w:rPr>
        <w:t>石嘴山银行官网网站：</w:t>
      </w:r>
      <w:r>
        <w:rPr>
          <w:rFonts w:ascii="宋体" w:hAnsi="宋体"/>
          <w:kern w:val="0"/>
        </w:rPr>
        <w:fldChar w:fldCharType="begin"/>
      </w:r>
      <w:r>
        <w:rPr>
          <w:rFonts w:ascii="宋体" w:hAnsi="宋体"/>
          <w:kern w:val="0"/>
        </w:rPr>
        <w:instrText xml:space="preserve"> HYPERLINK "http://</w:instrText>
      </w:r>
      <w:r>
        <w:rPr>
          <w:rFonts w:hint="eastAsia" w:ascii="宋体" w:hAnsi="宋体"/>
          <w:kern w:val="0"/>
        </w:rPr>
        <w:instrText xml:space="preserve">www.szsccb.com</w:instrText>
      </w:r>
      <w:r>
        <w:rPr>
          <w:rFonts w:ascii="宋体" w:hAnsi="宋体"/>
          <w:kern w:val="0"/>
        </w:rPr>
        <w:instrText xml:space="preserve">" </w:instrText>
      </w:r>
      <w:r>
        <w:rPr>
          <w:rFonts w:ascii="宋体" w:hAnsi="宋体"/>
          <w:kern w:val="0"/>
        </w:rPr>
        <w:fldChar w:fldCharType="separate"/>
      </w:r>
      <w:r>
        <w:rPr>
          <w:rStyle w:val="10"/>
          <w:rFonts w:hint="eastAsia" w:ascii="宋体" w:hAnsi="宋体"/>
          <w:kern w:val="0"/>
        </w:rPr>
        <w:t>www.szsccb.com</w:t>
      </w:r>
      <w:r>
        <w:rPr>
          <w:rFonts w:ascii="宋体" w:hAnsi="宋体"/>
          <w:kern w:val="0"/>
        </w:rPr>
        <w:fldChar w:fldCharType="end"/>
      </w:r>
      <w:r>
        <w:rPr>
          <w:rFonts w:hint="eastAsia" w:ascii="宋体" w:hAnsi="宋体"/>
          <w:kern w:val="0"/>
        </w:rPr>
        <w:t>。</w:t>
      </w:r>
    </w:p>
    <w:p>
      <w:pPr>
        <w:spacing w:line="360" w:lineRule="auto"/>
        <w:ind w:firstLine="420" w:firstLineChars="200"/>
        <w:rPr>
          <w:rFonts w:hint="eastAsia" w:ascii="宋体" w:hAnsi="宋体"/>
          <w:kern w:val="0"/>
        </w:rPr>
      </w:pPr>
      <w:r>
        <w:rPr>
          <w:rFonts w:hint="eastAsia" w:ascii="宋体" w:hAnsi="宋体"/>
          <w:kern w:val="0"/>
        </w:rPr>
        <w:t>（三）杭银理财联络方式：</w:t>
      </w:r>
    </w:p>
    <w:p>
      <w:pPr>
        <w:pStyle w:val="18"/>
        <w:numPr>
          <w:ilvl w:val="0"/>
          <w:numId w:val="23"/>
        </w:numPr>
        <w:spacing w:line="360" w:lineRule="auto"/>
        <w:ind w:firstLineChars="0"/>
        <w:rPr>
          <w:rFonts w:hint="eastAsia" w:ascii="宋体" w:hAnsi="宋体"/>
          <w:kern w:val="0"/>
          <w:szCs w:val="21"/>
        </w:rPr>
      </w:pPr>
      <w:r>
        <w:rPr>
          <w:rFonts w:hint="eastAsia" w:ascii="宋体" w:hAnsi="宋体"/>
          <w:kern w:val="0"/>
          <w:szCs w:val="21"/>
        </w:rPr>
        <w:t>官方网站：暂无</w:t>
      </w:r>
    </w:p>
    <w:p>
      <w:pPr>
        <w:pStyle w:val="18"/>
        <w:numPr>
          <w:ilvl w:val="0"/>
          <w:numId w:val="23"/>
        </w:numPr>
        <w:spacing w:line="360" w:lineRule="auto"/>
        <w:ind w:firstLineChars="0"/>
        <w:rPr>
          <w:rFonts w:hint="eastAsia" w:ascii="宋体" w:hAnsi="宋体"/>
          <w:kern w:val="0"/>
          <w:szCs w:val="21"/>
        </w:rPr>
      </w:pPr>
      <w:r>
        <w:rPr>
          <w:rFonts w:hint="eastAsia" w:ascii="宋体" w:hAnsi="宋体"/>
          <w:kern w:val="0"/>
          <w:szCs w:val="21"/>
        </w:rPr>
        <w:t>公司地址：杭州市拱墅区庆春路38号金龙财富中心6楼</w:t>
      </w:r>
    </w:p>
    <w:p>
      <w:pPr>
        <w:rPr>
          <w:rFonts w:hint="eastAsia"/>
        </w:rPr>
      </w:pPr>
      <w:r>
        <w:rPr>
          <w:rFonts w:hint="eastAsia" w:ascii="宋体" w:hAnsi="宋体"/>
          <w:kern w:val="0"/>
        </w:rPr>
        <w:t>若上述联系方式变更，杭银理财将提前通过原官方网站及时告知投资者</w:t>
      </w:r>
    </w:p>
    <w:p>
      <w:bookmarkStart w:id="0" w:name="_GoBack"/>
      <w:bookmarkEnd w:id="0"/>
      <w:r>
        <w:br w:type="page"/>
      </w:r>
    </w:p>
    <w:p>
      <w:pPr>
        <w:jc w:val="center"/>
        <w:rPr>
          <w:rFonts w:ascii="宋体" w:hAnsi="宋体"/>
          <w:b/>
          <w:bCs/>
          <w:sz w:val="32"/>
          <w:szCs w:val="32"/>
        </w:rPr>
      </w:pPr>
      <w:r>
        <w:rPr>
          <w:rFonts w:hint="eastAsia" w:ascii="宋体" w:hAnsi="宋体"/>
          <w:b/>
          <w:bCs/>
          <w:sz w:val="32"/>
          <w:szCs w:val="32"/>
        </w:rPr>
        <w:t>杭银理财理财计划投资协议书</w:t>
      </w:r>
    </w:p>
    <w:p>
      <w:pPr>
        <w:jc w:val="center"/>
        <w:rPr>
          <w:rFonts w:hint="eastAsia" w:ascii="宋体" w:hAnsi="宋体"/>
          <w:b/>
          <w:bCs/>
        </w:rPr>
      </w:pPr>
      <w:r>
        <w:rPr>
          <w:rFonts w:hint="eastAsia" w:ascii="宋体" w:hAnsi="宋体"/>
        </w:rPr>
        <w:t>（202101版）</w:t>
      </w:r>
    </w:p>
    <w:p>
      <w:pPr>
        <w:jc w:val="center"/>
        <w:rPr>
          <w:rFonts w:hint="eastAsia" w:ascii="宋体" w:hAnsi="宋体"/>
          <w:b/>
          <w:bCs/>
        </w:rPr>
      </w:pPr>
      <w:r>
        <w:rPr>
          <w:rFonts w:hint="eastAsia" w:ascii="宋体" w:hAnsi="宋体"/>
          <w:b/>
          <w:bCs/>
        </w:rPr>
        <w:t xml:space="preserve"> </w:t>
      </w:r>
    </w:p>
    <w:p>
      <w:pPr>
        <w:spacing w:line="360" w:lineRule="auto"/>
        <w:ind w:firstLine="422" w:firstLineChars="200"/>
        <w:rPr>
          <w:rFonts w:hint="eastAsia" w:ascii="宋体" w:hAnsi="宋体"/>
          <w:b/>
          <w:bCs/>
        </w:rPr>
      </w:pPr>
      <w:r>
        <w:rPr>
          <w:rFonts w:hint="eastAsia" w:ascii="宋体" w:hAnsi="宋体"/>
          <w:b/>
          <w:bCs/>
        </w:rPr>
        <w:t>特别提示：杭银理财理财计划投资协议书与投资者权益须知、风险揭示书、理财计划销售协议书及理财计划说明书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20" w:firstLineChars="200"/>
        <w:rPr>
          <w:rFonts w:hint="eastAsia" w:ascii="宋体" w:hAnsi="宋体"/>
        </w:rPr>
      </w:pPr>
      <w:r>
        <w:rPr>
          <w:rFonts w:hint="eastAsia" w:ascii="宋体" w:hAnsi="宋体"/>
        </w:rPr>
        <w:t>投资者与管理人（即杭银理财有限责任公司）经平等友好协商，本着自愿、诚实信用原则，就投资者购买管理人发行的理财计划有关事宜达成如下协议（以下简称“本协议”）：</w:t>
      </w:r>
    </w:p>
    <w:p>
      <w:pPr>
        <w:spacing w:line="360" w:lineRule="auto"/>
        <w:ind w:firstLine="420"/>
        <w:rPr>
          <w:rFonts w:hint="eastAsia" w:ascii="宋体" w:hAnsi="宋体"/>
          <w:b/>
          <w:bCs/>
        </w:rPr>
      </w:pPr>
      <w:r>
        <w:rPr>
          <w:rFonts w:hint="eastAsia" w:ascii="宋体" w:hAnsi="宋体"/>
          <w:b/>
          <w:bCs/>
        </w:rPr>
        <w:t>第一条 名词释义</w:t>
      </w:r>
    </w:p>
    <w:p>
      <w:pPr>
        <w:spacing w:line="360" w:lineRule="auto"/>
        <w:ind w:firstLine="420" w:firstLineChars="200"/>
        <w:rPr>
          <w:rFonts w:hint="eastAsia" w:ascii="宋体" w:hAnsi="宋体"/>
        </w:rPr>
      </w:pPr>
      <w:r>
        <w:rPr>
          <w:rFonts w:hint="eastAsia" w:ascii="宋体" w:hAnsi="宋体"/>
        </w:rPr>
        <w:t>详见理财计划说明书“释义”部分。</w:t>
      </w:r>
    </w:p>
    <w:p>
      <w:pPr>
        <w:spacing w:line="360" w:lineRule="auto"/>
        <w:ind w:left="422"/>
        <w:rPr>
          <w:rFonts w:hint="eastAsia" w:ascii="宋体" w:hAnsi="宋体"/>
          <w:b/>
          <w:bCs/>
        </w:rPr>
      </w:pPr>
      <w:r>
        <w:rPr>
          <w:rFonts w:hint="eastAsia" w:ascii="宋体" w:hAnsi="宋体"/>
          <w:b/>
          <w:bCs/>
        </w:rPr>
        <w:t>第二条 投资者权利与义务</w:t>
      </w:r>
    </w:p>
    <w:p>
      <w:pPr>
        <w:widowControl/>
        <w:spacing w:line="360" w:lineRule="auto"/>
        <w:ind w:firstLine="420"/>
        <w:contextualSpacing/>
        <w:rPr>
          <w:rFonts w:hint="eastAsia" w:ascii="宋体" w:hAnsi="宋体"/>
        </w:rPr>
      </w:pPr>
      <w:r>
        <w:rPr>
          <w:rFonts w:hint="eastAsia" w:ascii="宋体" w:hAnsi="宋体"/>
        </w:rPr>
        <w:t>（一）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olor w:val="000000"/>
          <w:kern w:val="0"/>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spacing w:line="360" w:lineRule="auto"/>
        <w:ind w:firstLine="420"/>
        <w:contextualSpacing/>
        <w:rPr>
          <w:rFonts w:hint="eastAsia" w:ascii="宋体" w:hAnsi="宋体"/>
        </w:rPr>
      </w:pPr>
      <w:r>
        <w:rPr>
          <w:rFonts w:hint="eastAsia" w:ascii="宋体" w:hAnsi="宋体"/>
        </w:rPr>
        <w:t>（二）投资者保证自身完全了解理财投资的性质，投资所涉及的风险以及自身风险承受能力，在慎重考虑后独立作出交易决定。</w:t>
      </w:r>
    </w:p>
    <w:p>
      <w:pPr>
        <w:widowControl/>
        <w:spacing w:line="360" w:lineRule="auto"/>
        <w:ind w:left="420"/>
        <w:contextualSpacing/>
        <w:rPr>
          <w:rFonts w:hint="eastAsia" w:ascii="宋体" w:hAnsi="宋体"/>
        </w:rPr>
      </w:pPr>
      <w:r>
        <w:rPr>
          <w:rFonts w:hint="eastAsia" w:ascii="宋体" w:hAnsi="宋体"/>
        </w:rPr>
        <w:t>（三）投资者保证其有权利签署本协议和履行本协议所述的义务，并已为此采取一切所需的行为。</w:t>
      </w:r>
    </w:p>
    <w:p>
      <w:pPr>
        <w:widowControl/>
        <w:spacing w:line="360" w:lineRule="auto"/>
        <w:ind w:firstLine="420"/>
        <w:contextualSpacing/>
        <w:rPr>
          <w:rFonts w:hint="eastAsia" w:ascii="宋体" w:hAnsi="宋体"/>
        </w:rPr>
      </w:pPr>
      <w:r>
        <w:rPr>
          <w:rFonts w:hint="eastAsia" w:ascii="宋体" w:hAnsi="宋体"/>
        </w:rPr>
        <w:t>（四）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spacing w:line="360" w:lineRule="auto"/>
        <w:ind w:firstLine="420"/>
        <w:contextualSpacing/>
        <w:rPr>
          <w:rFonts w:hint="eastAsia" w:ascii="宋体" w:hAnsi="宋体"/>
        </w:rPr>
      </w:pPr>
      <w:r>
        <w:rPr>
          <w:rFonts w:hint="eastAsia" w:ascii="宋体" w:hAnsi="宋体"/>
        </w:rPr>
        <w:t xml:space="preserve">（五）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spacing w:line="360" w:lineRule="auto"/>
        <w:ind w:firstLine="420"/>
        <w:contextualSpacing/>
        <w:rPr>
          <w:rFonts w:hint="eastAsia" w:ascii="宋体" w:hAnsi="宋体"/>
        </w:rPr>
      </w:pPr>
      <w:r>
        <w:rPr>
          <w:rFonts w:hint="eastAsia" w:ascii="宋体" w:hAnsi="宋体"/>
        </w:rPr>
        <w:t xml:space="preserve">（六）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spacing w:line="360" w:lineRule="auto"/>
        <w:ind w:firstLine="420"/>
        <w:contextualSpacing/>
        <w:rPr>
          <w:rFonts w:hint="eastAsia" w:ascii="宋体" w:hAnsi="宋体"/>
        </w:rPr>
      </w:pPr>
      <w:r>
        <w:rPr>
          <w:rFonts w:hint="eastAsia" w:ascii="宋体" w:hAnsi="宋体"/>
        </w:rPr>
        <w:t>（七）本协议终止前，投资者不得将授权指定账户销户。若发生因投资者注销授权指定账户造成理财计划无法正常兑付的，管理人不承担任何责任。</w:t>
      </w:r>
    </w:p>
    <w:p>
      <w:pPr>
        <w:widowControl/>
        <w:spacing w:line="360" w:lineRule="auto"/>
        <w:ind w:firstLine="420"/>
        <w:contextualSpacing/>
        <w:rPr>
          <w:rFonts w:hint="eastAsia" w:ascii="宋体" w:hAnsi="宋体"/>
        </w:rPr>
      </w:pPr>
      <w:r>
        <w:rPr>
          <w:rFonts w:hint="eastAsia" w:ascii="宋体" w:hAnsi="宋体"/>
        </w:rPr>
        <w:t xml:space="preserve">（八）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spacing w:line="360" w:lineRule="auto"/>
        <w:ind w:firstLine="420"/>
        <w:contextualSpacing/>
        <w:rPr>
          <w:rFonts w:hint="eastAsia" w:ascii="宋体" w:hAnsi="宋体"/>
        </w:rPr>
      </w:pPr>
      <w:r>
        <w:rPr>
          <w:rFonts w:hint="eastAsia" w:ascii="宋体" w:hAnsi="宋体"/>
        </w:rPr>
        <w:t xml:space="preserve">（九）投资者进行投资时，应严格遵守反洗钱相关法规的规定，切实履行反洗钱及反恐怖融资义务。 </w:t>
      </w:r>
    </w:p>
    <w:p>
      <w:pPr>
        <w:spacing w:line="360" w:lineRule="auto"/>
        <w:ind w:left="482"/>
        <w:rPr>
          <w:rFonts w:hint="eastAsia"/>
          <w:b/>
          <w:bCs/>
        </w:rPr>
      </w:pPr>
      <w:r>
        <w:rPr>
          <w:b/>
          <w:bCs/>
        </w:rPr>
        <w:t xml:space="preserve"> </w:t>
      </w:r>
    </w:p>
    <w:p>
      <w:pPr>
        <w:spacing w:line="360" w:lineRule="auto"/>
        <w:ind w:left="422"/>
        <w:rPr>
          <w:rFonts w:ascii="宋体" w:hAnsi="宋体"/>
          <w:b/>
          <w:bCs/>
        </w:rPr>
      </w:pPr>
      <w:r>
        <w:rPr>
          <w:rFonts w:hint="eastAsia" w:ascii="宋体" w:hAnsi="宋体"/>
          <w:b/>
          <w:bCs/>
        </w:rPr>
        <w:t>第三条 管理人权利与义务</w:t>
      </w:r>
    </w:p>
    <w:p>
      <w:pPr>
        <w:widowControl/>
        <w:spacing w:line="360" w:lineRule="auto"/>
        <w:ind w:left="420"/>
        <w:contextualSpacing/>
        <w:rPr>
          <w:rFonts w:hint="eastAsia" w:ascii="宋体" w:hAnsi="宋体"/>
        </w:rPr>
      </w:pPr>
      <w:r>
        <w:rPr>
          <w:rFonts w:hint="eastAsia" w:ascii="宋体" w:hAnsi="宋体"/>
        </w:rPr>
        <w:t xml:space="preserve">（一）管理人应当诚实守信、勤勉尽责地履行受人之托、代人理财职责。 </w:t>
      </w:r>
    </w:p>
    <w:p>
      <w:pPr>
        <w:widowControl/>
        <w:spacing w:line="360" w:lineRule="auto"/>
        <w:ind w:firstLine="420"/>
        <w:contextualSpacing/>
        <w:rPr>
          <w:rFonts w:hint="eastAsia" w:ascii="宋体" w:hAnsi="宋体"/>
        </w:rPr>
      </w:pPr>
      <w:r>
        <w:rPr>
          <w:rFonts w:hint="eastAsia" w:ascii="宋体" w:hAnsi="宋体"/>
        </w:rPr>
        <w:t xml:space="preserve">（二）管理人应当按照理财计划销售文件的约定收取管理费用、确定收益分配方案、向投资者分配收益。 </w:t>
      </w:r>
    </w:p>
    <w:p>
      <w:pPr>
        <w:widowControl/>
        <w:spacing w:line="360" w:lineRule="auto"/>
        <w:ind w:left="420"/>
        <w:contextualSpacing/>
        <w:rPr>
          <w:rFonts w:hint="eastAsia" w:ascii="宋体" w:hAnsi="宋体"/>
        </w:rPr>
      </w:pPr>
      <w:r>
        <w:rPr>
          <w:rFonts w:hint="eastAsia" w:ascii="宋体" w:hAnsi="宋体"/>
        </w:rPr>
        <w:t xml:space="preserve">（三）管理人应当按照理财计划销售文件的约定履行风险揭示及信息披露义务。 </w:t>
      </w:r>
    </w:p>
    <w:p>
      <w:pPr>
        <w:widowControl/>
        <w:spacing w:line="360" w:lineRule="auto"/>
        <w:ind w:firstLine="420"/>
        <w:contextualSpacing/>
        <w:rPr>
          <w:rFonts w:hint="eastAsia" w:ascii="宋体" w:hAnsi="宋体"/>
        </w:rPr>
      </w:pPr>
      <w:r>
        <w:rPr>
          <w:rFonts w:hint="eastAsia" w:ascii="宋体" w:hAnsi="宋体"/>
        </w:rPr>
        <w:t xml:space="preserve">（四）管理人应当确保理财业务与其他业务相分离，理财计划之间相分离，理财业务操作与其他业务操作相分离。 </w:t>
      </w:r>
    </w:p>
    <w:p>
      <w:pPr>
        <w:widowControl/>
        <w:spacing w:line="360" w:lineRule="auto"/>
        <w:ind w:firstLine="420"/>
        <w:contextualSpacing/>
        <w:rPr>
          <w:rFonts w:hint="eastAsia" w:ascii="宋体" w:hAnsi="宋体"/>
        </w:rPr>
      </w:pPr>
      <w:r>
        <w:rPr>
          <w:rFonts w:hint="eastAsia" w:ascii="宋体" w:hAnsi="宋体"/>
        </w:rPr>
        <w:t>（五）管理人不得将理财计划财产归入其自有资产，因依法解散、被依法撤销或者被依法宣告破产等原因进行清算的，理财计划财产不属于其清算财产。</w:t>
      </w:r>
    </w:p>
    <w:p>
      <w:pPr>
        <w:widowControl/>
        <w:spacing w:line="360" w:lineRule="auto"/>
        <w:ind w:firstLine="420"/>
        <w:contextualSpacing/>
        <w:rPr>
          <w:rFonts w:hint="eastAsia" w:ascii="宋体" w:hAnsi="宋体"/>
        </w:rPr>
      </w:pPr>
      <w:r>
        <w:rPr>
          <w:rFonts w:hint="eastAsia" w:ascii="宋体" w:hAnsi="宋体"/>
        </w:rPr>
        <w:t xml:space="preserve">（六）管理人应当选择具有证券投资基金托管业务资格的金融机构、银行业理财登记托管机构或者国务院银行业监督管理机构认可的其他机构托管理财计划。 </w:t>
      </w:r>
    </w:p>
    <w:p>
      <w:pPr>
        <w:widowControl/>
        <w:spacing w:line="360" w:lineRule="auto"/>
        <w:ind w:firstLine="420"/>
        <w:contextualSpacing/>
        <w:rPr>
          <w:rFonts w:hint="eastAsia" w:ascii="宋体" w:hAnsi="宋体"/>
        </w:rPr>
      </w:pPr>
      <w:r>
        <w:rPr>
          <w:rFonts w:hint="eastAsia" w:ascii="宋体" w:hAnsi="宋体"/>
        </w:rPr>
        <w:t xml:space="preserve">（七）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spacing w:line="360" w:lineRule="auto"/>
        <w:ind w:firstLine="420"/>
        <w:contextualSpacing/>
        <w:rPr>
          <w:rFonts w:hint="eastAsia" w:ascii="宋体" w:hAnsi="宋体"/>
        </w:rPr>
      </w:pPr>
      <w:r>
        <w:rPr>
          <w:rFonts w:hint="eastAsia" w:ascii="宋体" w:hAnsi="宋体"/>
        </w:rPr>
        <w:t xml:space="preserve">（八）管理人有权按照法律法规和监管要求，报送投资者身份信息及其持有理财计划信息；在管理人办理与理财计划相关事项所需的情况下，投资者同意并授权管理人向管理人集团成员、服务机构及其他管理人认为必要的业务合作机构提供管理人获取的投资者信息。管理人应向上述被披露方明确其保护投资者信息的职责并要求其承担相应保密义务。 </w:t>
      </w:r>
    </w:p>
    <w:p>
      <w:pPr>
        <w:widowControl/>
        <w:spacing w:line="360" w:lineRule="auto"/>
        <w:ind w:firstLine="420"/>
        <w:contextualSpacing/>
        <w:rPr>
          <w:rFonts w:hint="eastAsia" w:ascii="宋体" w:hAnsi="宋体"/>
        </w:rPr>
      </w:pPr>
      <w:r>
        <w:rPr>
          <w:rFonts w:hint="eastAsia" w:ascii="宋体" w:hAnsi="宋体"/>
        </w:rPr>
        <w:t xml:space="preserve">（九）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rFonts w:hint="eastAsia"/>
          <w:b/>
          <w:bCs/>
        </w:rPr>
      </w:pPr>
      <w:r>
        <w:rPr>
          <w:b/>
          <w:bCs/>
        </w:rPr>
        <w:t xml:space="preserve"> </w:t>
      </w:r>
    </w:p>
    <w:p>
      <w:pPr>
        <w:spacing w:line="360" w:lineRule="auto"/>
        <w:ind w:left="422"/>
        <w:rPr>
          <w:rFonts w:ascii="宋体" w:hAnsi="宋体"/>
          <w:b/>
          <w:bCs/>
        </w:rPr>
      </w:pPr>
      <w:r>
        <w:rPr>
          <w:rFonts w:hint="eastAsia" w:ascii="宋体" w:hAnsi="宋体"/>
          <w:b/>
          <w:bCs/>
        </w:rPr>
        <w:t>第四条 理财计划认（申）购、赎回及终止</w:t>
      </w:r>
    </w:p>
    <w:p>
      <w:pPr>
        <w:widowControl/>
        <w:spacing w:line="360" w:lineRule="auto"/>
        <w:ind w:left="420"/>
        <w:contextualSpacing/>
        <w:rPr>
          <w:rFonts w:hint="eastAsia" w:ascii="宋体" w:hAnsi="宋体"/>
        </w:rPr>
      </w:pPr>
      <w:r>
        <w:rPr>
          <w:rFonts w:hint="eastAsia" w:ascii="宋体" w:hAnsi="宋体"/>
        </w:rPr>
        <w:t xml:space="preserve">（一）理财计划认/申购办理流程：参照《投资者权益须知》约定。 </w:t>
      </w:r>
    </w:p>
    <w:p>
      <w:pPr>
        <w:widowControl/>
        <w:spacing w:line="360" w:lineRule="auto"/>
        <w:ind w:firstLine="420"/>
        <w:contextualSpacing/>
        <w:rPr>
          <w:rFonts w:hint="eastAsia" w:ascii="宋体" w:hAnsi="宋体"/>
        </w:rPr>
      </w:pPr>
      <w:r>
        <w:rPr>
          <w:rFonts w:hint="eastAsia" w:ascii="宋体" w:hAnsi="宋体"/>
        </w:rPr>
        <w:t>（二）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spacing w:line="360" w:lineRule="auto"/>
        <w:ind w:firstLine="420"/>
        <w:contextualSpacing/>
        <w:rPr>
          <w:rFonts w:hint="eastAsia" w:ascii="宋体" w:hAnsi="宋体"/>
        </w:rPr>
      </w:pPr>
      <w:r>
        <w:rPr>
          <w:rFonts w:hint="eastAsia" w:ascii="宋体" w:hAnsi="宋体"/>
        </w:rPr>
        <w:t xml:space="preserve">（三）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spacing w:line="360" w:lineRule="auto"/>
        <w:ind w:firstLine="420"/>
        <w:contextualSpacing/>
        <w:rPr>
          <w:rFonts w:hint="eastAsia" w:ascii="宋体" w:hAnsi="宋体"/>
        </w:rPr>
      </w:pPr>
      <w:r>
        <w:rPr>
          <w:rFonts w:hint="eastAsia" w:ascii="宋体" w:hAnsi="宋体"/>
        </w:rPr>
        <w:t xml:space="preserve">（四）理财计划投资品种、投资起点金额、收益支付方式：参照对应期次的《理财计划产品说明书》中的条款约定。 </w:t>
      </w:r>
    </w:p>
    <w:p>
      <w:pPr>
        <w:widowControl/>
        <w:spacing w:line="360" w:lineRule="auto"/>
        <w:ind w:firstLine="420"/>
        <w:contextualSpacing/>
        <w:rPr>
          <w:rFonts w:hint="eastAsia" w:ascii="宋体" w:hAnsi="宋体"/>
        </w:rPr>
      </w:pPr>
      <w:r>
        <w:rPr>
          <w:rFonts w:hint="eastAsia" w:ascii="宋体" w:hAnsi="宋体"/>
        </w:rPr>
        <w:t>（五）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spacing w:line="360" w:lineRule="auto"/>
        <w:ind w:firstLine="420"/>
        <w:contextualSpacing/>
        <w:rPr>
          <w:rFonts w:hint="eastAsia" w:ascii="宋体" w:hAnsi="宋体"/>
        </w:rPr>
      </w:pPr>
      <w:r>
        <w:rPr>
          <w:rFonts w:hint="eastAsia" w:ascii="宋体" w:hAnsi="宋体"/>
        </w:rPr>
        <w:t>（六）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rFonts w:hint="eastAsia"/>
          <w:b/>
          <w:bCs/>
        </w:rPr>
      </w:pPr>
      <w:r>
        <w:rPr>
          <w:b/>
          <w:bCs/>
        </w:rPr>
        <w:t xml:space="preserve"> </w:t>
      </w:r>
    </w:p>
    <w:p>
      <w:pPr>
        <w:spacing w:line="360" w:lineRule="auto"/>
        <w:ind w:firstLine="420"/>
        <w:rPr>
          <w:rFonts w:ascii="宋体" w:hAnsi="宋体"/>
          <w:b/>
          <w:bCs/>
        </w:rPr>
      </w:pPr>
      <w:r>
        <w:rPr>
          <w:rFonts w:hint="eastAsia" w:ascii="宋体" w:hAnsi="宋体"/>
          <w:b/>
          <w:bCs/>
        </w:rPr>
        <w:t>第五条 税收处理</w:t>
      </w:r>
    </w:p>
    <w:p>
      <w:pPr>
        <w:widowControl/>
        <w:spacing w:line="360" w:lineRule="auto"/>
        <w:ind w:firstLine="420" w:firstLineChars="200"/>
        <w:contextualSpacing/>
        <w:rPr>
          <w:rFonts w:hint="eastAsia" w:ascii="宋体" w:hAnsi="宋体"/>
        </w:rPr>
      </w:pPr>
      <w:r>
        <w:rPr>
          <w:rFonts w:hint="eastAsia" w:ascii="宋体" w:hAnsi="宋体"/>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20" w:firstLineChars="200"/>
        <w:contextualSpacing/>
        <w:rPr>
          <w:rFonts w:hint="eastAsia" w:ascii="宋体" w:hAnsi="宋体"/>
        </w:rPr>
      </w:pPr>
      <w:r>
        <w:rPr>
          <w:rFonts w:hint="eastAsia" w:ascii="宋体" w:hAnsi="宋体"/>
        </w:rPr>
        <w:t xml:space="preserve"> </w:t>
      </w:r>
    </w:p>
    <w:p>
      <w:pPr>
        <w:spacing w:line="360" w:lineRule="auto"/>
        <w:ind w:firstLine="420"/>
        <w:rPr>
          <w:rFonts w:hint="eastAsia" w:ascii="宋体" w:hAnsi="宋体"/>
          <w:b/>
          <w:bCs/>
        </w:rPr>
      </w:pPr>
      <w:r>
        <w:rPr>
          <w:rFonts w:hint="eastAsia" w:ascii="宋体" w:hAnsi="宋体"/>
          <w:b/>
          <w:bCs/>
        </w:rPr>
        <w:t>第六条 违约责任及免责条款</w:t>
      </w:r>
    </w:p>
    <w:p>
      <w:pPr>
        <w:widowControl/>
        <w:spacing w:line="360" w:lineRule="auto"/>
        <w:ind w:firstLine="420"/>
        <w:contextualSpacing/>
        <w:rPr>
          <w:rFonts w:hint="eastAsia" w:ascii="宋体" w:hAnsi="宋体"/>
        </w:rPr>
      </w:pPr>
      <w:r>
        <w:rPr>
          <w:rFonts w:hint="eastAsia" w:ascii="宋体" w:hAnsi="宋体"/>
        </w:rPr>
        <w:t>（一）若因投资人原因导致司法或行政机构采取强制措施对其理财本金、收益进行部分或全部被扣划，均视投资者本人就全部理财本金违约进行了提前支取，本合同自动终止。因提前终止而产生的损失及相关费用由投资者承担。本合同前述情况终止的，理财本金不计付支取日前的理财收益，也不计付存款利息。</w:t>
      </w:r>
    </w:p>
    <w:p>
      <w:pPr>
        <w:widowControl/>
        <w:spacing w:line="360" w:lineRule="auto"/>
        <w:ind w:firstLine="420"/>
        <w:contextualSpacing/>
        <w:rPr>
          <w:rFonts w:hint="eastAsia" w:ascii="宋体" w:hAnsi="宋体"/>
        </w:rPr>
      </w:pPr>
      <w:r>
        <w:rPr>
          <w:rFonts w:hint="eastAsia" w:ascii="宋体" w:hAnsi="宋体"/>
        </w:rPr>
        <w:t>（二）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spacing w:line="360" w:lineRule="auto"/>
        <w:ind w:firstLine="420"/>
        <w:contextualSpacing/>
        <w:rPr>
          <w:rFonts w:hint="eastAsia" w:ascii="宋体" w:hAnsi="宋体"/>
        </w:rPr>
      </w:pPr>
      <w:r>
        <w:rPr>
          <w:rFonts w:hint="eastAsia" w:ascii="宋体" w:hAnsi="宋体"/>
        </w:rPr>
        <w:t>（三）若由于管理人过错导致理财计划资产发生损失，管理人应按其过错承担赔偿责任，管理人赔偿的款项计入本理财计划的资产和收益，由所有投资者按理财本金比例分配。</w:t>
      </w:r>
    </w:p>
    <w:p>
      <w:pPr>
        <w:widowControl/>
        <w:spacing w:line="360" w:lineRule="auto"/>
        <w:ind w:firstLine="420"/>
        <w:contextualSpacing/>
        <w:rPr>
          <w:rFonts w:hint="eastAsia" w:ascii="宋体" w:hAnsi="宋体"/>
        </w:rPr>
      </w:pPr>
      <w:r>
        <w:rPr>
          <w:rFonts w:hint="eastAsia" w:ascii="宋体" w:hAnsi="宋体"/>
        </w:rPr>
        <w:t>（四）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spacing w:line="360" w:lineRule="auto"/>
        <w:ind w:firstLine="420"/>
        <w:contextualSpacing/>
        <w:rPr>
          <w:rFonts w:hint="eastAsia" w:ascii="宋体" w:hAnsi="宋体"/>
        </w:rPr>
      </w:pPr>
      <w:r>
        <w:rPr>
          <w:rFonts w:hint="eastAsia" w:ascii="宋体" w:hAnsi="宋体"/>
        </w:rPr>
        <w:t>（五）因国家有关法律、法规、规章、政策的修改或新的法律、法规、规章、政策颁布以及紧急措施的出台导致的风险及损失，管理人不承担责任。</w:t>
      </w:r>
    </w:p>
    <w:p>
      <w:pPr>
        <w:widowControl/>
        <w:spacing w:line="360" w:lineRule="auto"/>
        <w:ind w:firstLine="420"/>
        <w:contextualSpacing/>
        <w:rPr>
          <w:rFonts w:hint="eastAsia" w:ascii="宋体" w:hAnsi="宋体"/>
        </w:rPr>
      </w:pPr>
      <w:r>
        <w:rPr>
          <w:rFonts w:hint="eastAsia" w:ascii="宋体" w:hAnsi="宋体"/>
        </w:rPr>
        <w:t>（六）管理人若严格按照产品说明书相关规定进行投资运作，给投资者造成损失的，应免除管理人责任。</w:t>
      </w:r>
    </w:p>
    <w:p>
      <w:pPr>
        <w:widowControl/>
        <w:spacing w:line="360" w:lineRule="auto"/>
        <w:contextualSpacing/>
        <w:rPr>
          <w:rFonts w:hint="eastAsia" w:ascii="宋体" w:hAnsi="宋体"/>
        </w:rPr>
      </w:pPr>
      <w:r>
        <w:rPr>
          <w:rFonts w:hint="eastAsia" w:ascii="宋体" w:hAnsi="宋体"/>
        </w:rPr>
        <w:t xml:space="preserve"> </w:t>
      </w:r>
    </w:p>
    <w:p>
      <w:pPr>
        <w:spacing w:line="360" w:lineRule="auto"/>
        <w:ind w:firstLine="420"/>
        <w:rPr>
          <w:rFonts w:hint="eastAsia"/>
          <w:b/>
          <w:bCs/>
        </w:rPr>
      </w:pPr>
      <w:r>
        <w:rPr>
          <w:rFonts w:hint="eastAsia" w:ascii="宋体" w:hAnsi="宋体"/>
          <w:b/>
          <w:bCs/>
        </w:rPr>
        <w:t>第七条 适用法律与争议解决</w:t>
      </w:r>
    </w:p>
    <w:p>
      <w:pPr>
        <w:widowControl/>
        <w:spacing w:line="360" w:lineRule="auto"/>
        <w:ind w:firstLine="420" w:firstLineChars="200"/>
        <w:contextualSpacing/>
        <w:rPr>
          <w:rFonts w:ascii="宋体" w:hAnsi="宋体"/>
        </w:rPr>
      </w:pPr>
      <w:r>
        <w:rPr>
          <w:rFonts w:hint="eastAsia" w:ascii="宋体" w:hAnsi="宋体"/>
        </w:rPr>
        <w:t>本合同适用</w:t>
      </w:r>
      <w:r>
        <w:rPr>
          <w:rFonts w:hint="eastAsia" w:ascii="宋体" w:hAnsi="宋体"/>
          <w:color w:val="000000"/>
        </w:rPr>
        <w:t>中华人民共和国（仅为明确本合同适用法律规则，不含香港特别行政区、澳门特别行政区及中国台湾地区）</w:t>
      </w:r>
      <w:r>
        <w:rPr>
          <w:rFonts w:hint="eastAsia" w:ascii="宋体" w:hAnsi="宋体"/>
        </w:rPr>
        <w:t>的法律和行政法规。本合同项下的及与之有关的一切争议，投资者与管理人双方应首先协商解决，协商不成的，应提交管理人所在地人民法院司法裁决。诉讼期间，未涉及争议的条款仍需继续履行。</w:t>
      </w:r>
    </w:p>
    <w:p>
      <w:pPr>
        <w:spacing w:line="360" w:lineRule="auto"/>
        <w:ind w:left="482"/>
        <w:rPr>
          <w:rFonts w:hint="eastAsia"/>
          <w:b/>
          <w:bCs/>
        </w:rPr>
      </w:pPr>
      <w:r>
        <w:rPr>
          <w:b/>
          <w:bCs/>
        </w:rPr>
        <w:t xml:space="preserve"> </w:t>
      </w:r>
    </w:p>
    <w:p>
      <w:pPr>
        <w:spacing w:line="360" w:lineRule="auto"/>
        <w:ind w:firstLine="420"/>
        <w:rPr>
          <w:rFonts w:ascii="宋体" w:hAnsi="宋体"/>
          <w:b/>
          <w:bCs/>
        </w:rPr>
      </w:pPr>
      <w:r>
        <w:rPr>
          <w:rFonts w:hint="eastAsia" w:ascii="宋体" w:hAnsi="宋体"/>
          <w:b/>
          <w:bCs/>
        </w:rPr>
        <w:t>第八条 协议生效和终止</w:t>
      </w:r>
    </w:p>
    <w:p>
      <w:pPr>
        <w:widowControl/>
        <w:spacing w:line="360" w:lineRule="auto"/>
        <w:ind w:left="420"/>
        <w:contextualSpacing/>
        <w:rPr>
          <w:rFonts w:hint="eastAsia" w:ascii="宋体" w:hAnsi="宋体"/>
        </w:rPr>
      </w:pPr>
      <w:r>
        <w:rPr>
          <w:rFonts w:hint="eastAsia" w:ascii="宋体" w:hAnsi="宋体"/>
        </w:rPr>
        <w:t xml:space="preserve">（一）投资者和管理人双方认可本协议可以纸质或电子数据等形式提交、订立或确认。 </w:t>
      </w:r>
    </w:p>
    <w:p>
      <w:pPr>
        <w:widowControl/>
        <w:spacing w:line="360" w:lineRule="auto"/>
        <w:ind w:firstLine="420"/>
        <w:contextualSpacing/>
        <w:rPr>
          <w:rFonts w:hint="eastAsia" w:ascii="宋体" w:hAnsi="宋体"/>
        </w:rPr>
      </w:pPr>
      <w:r>
        <w:rPr>
          <w:rFonts w:hint="eastAsia" w:ascii="宋体" w:hAnsi="宋体"/>
        </w:rPr>
        <w:t xml:space="preserve">（二）本协议书以纸质书面形式订立的，自投资者签字和销售机构代表管理人签署盖章之后立即生效。协议一式贰份，投资者和管理人双方各执壹份，具有同等法律效力。 </w:t>
      </w:r>
    </w:p>
    <w:p>
      <w:pPr>
        <w:widowControl/>
        <w:spacing w:line="360" w:lineRule="auto"/>
        <w:ind w:firstLine="420"/>
        <w:contextualSpacing/>
        <w:rPr>
          <w:rFonts w:hint="eastAsia" w:ascii="宋体" w:hAnsi="宋体"/>
        </w:rPr>
      </w:pPr>
      <w:r>
        <w:rPr>
          <w:rFonts w:hint="eastAsia" w:ascii="宋体" w:hAnsi="宋体"/>
        </w:rPr>
        <w:t>（三）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spacing w:line="360" w:lineRule="auto"/>
        <w:ind w:firstLine="420"/>
        <w:contextualSpacing/>
        <w:rPr>
          <w:rFonts w:hint="eastAsia" w:ascii="宋体" w:hAnsi="宋体"/>
        </w:rPr>
      </w:pPr>
      <w:r>
        <w:rPr>
          <w:rFonts w:hint="eastAsia" w:ascii="宋体" w:hAnsi="宋体"/>
        </w:rPr>
        <w:t>（四）投资者和管理人双方在本协议及对应期次的《理财计划产品说明书》项下权利义务履行完毕之日，本协议自动终止。</w:t>
      </w:r>
    </w:p>
    <w:p>
      <w:pPr>
        <w:widowControl/>
        <w:spacing w:line="360" w:lineRule="auto"/>
        <w:ind w:left="6"/>
        <w:contextualSpacing/>
        <w:rPr>
          <w:rFonts w:hint="eastAsia" w:ascii="宋体" w:hAnsi="宋体"/>
        </w:rPr>
      </w:pPr>
      <w:r>
        <w:rPr>
          <w:rFonts w:hint="eastAsia" w:ascii="宋体" w:hAnsi="宋体"/>
        </w:rPr>
        <w:t xml:space="preserve"> </w:t>
      </w:r>
    </w:p>
    <w:p>
      <w:pPr>
        <w:spacing w:line="360" w:lineRule="auto"/>
        <w:ind w:firstLine="420"/>
        <w:rPr>
          <w:rFonts w:hint="eastAsia"/>
          <w:b/>
          <w:bCs/>
        </w:rPr>
      </w:pPr>
      <w:r>
        <w:rPr>
          <w:rFonts w:hint="eastAsia" w:ascii="宋体" w:hAnsi="宋体"/>
          <w:b/>
          <w:bCs/>
        </w:rPr>
        <w:t>第九条 附则</w:t>
      </w:r>
    </w:p>
    <w:p>
      <w:pPr>
        <w:widowControl/>
        <w:spacing w:line="360" w:lineRule="auto"/>
        <w:ind w:firstLine="420"/>
        <w:contextualSpacing/>
        <w:rPr>
          <w:rFonts w:ascii="宋体" w:hAnsi="宋体"/>
        </w:rPr>
      </w:pPr>
      <w:r>
        <w:rPr>
          <w:rFonts w:hint="eastAsia" w:ascii="宋体" w:hAnsi="宋体"/>
        </w:rPr>
        <w:t>（一）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spacing w:line="360" w:lineRule="auto"/>
        <w:ind w:firstLine="420"/>
        <w:contextualSpacing/>
        <w:rPr>
          <w:rFonts w:hint="eastAsia" w:ascii="宋体" w:hAnsi="宋体"/>
        </w:rPr>
      </w:pPr>
      <w:r>
        <w:rPr>
          <w:rFonts w:hint="eastAsia" w:ascii="宋体" w:hAnsi="宋体"/>
        </w:rPr>
        <w:t>（二）如果由于任何原因使本合同下的任何条款或内容成为无效或被依法撤销，本合同其他条款或内容的合法性、有效性和可执行性不受影响。</w:t>
      </w:r>
    </w:p>
    <w:p>
      <w:pPr>
        <w:widowControl/>
        <w:spacing w:line="360" w:lineRule="auto"/>
        <w:ind w:firstLine="420"/>
        <w:contextualSpacing/>
        <w:rPr>
          <w:rFonts w:hint="eastAsia" w:ascii="宋体" w:hAnsi="宋体"/>
        </w:rPr>
      </w:pPr>
      <w:r>
        <w:rPr>
          <w:rFonts w:hint="eastAsia" w:ascii="宋体" w:hAnsi="宋体"/>
        </w:rPr>
        <w:t>（三）在理财计划存续期内，如因监管政策或法律法规发生变化，在不损害投资者利益的前提下，管理人有权单方对理财计划合同进行修订。</w:t>
      </w:r>
    </w:p>
    <w:p>
      <w:pPr>
        <w:spacing w:line="360" w:lineRule="auto"/>
        <w:rPr>
          <w:rFonts w:hint="eastAsia" w:ascii="宋体" w:hAnsi="宋体"/>
          <w:color w:val="000000"/>
        </w:rPr>
      </w:pPr>
      <w:r>
        <w:rPr>
          <w:rFonts w:hint="eastAsia" w:ascii="宋体" w:hAnsi="宋体"/>
          <w:color w:val="000000"/>
        </w:rPr>
        <w:t xml:space="preserve"> </w:t>
      </w:r>
    </w:p>
    <w:p>
      <w:pPr>
        <w:spacing w:line="360" w:lineRule="auto"/>
        <w:rPr>
          <w:rFonts w:hint="eastAsia" w:ascii="宋体" w:hAnsi="宋体"/>
          <w:color w:val="000000"/>
        </w:rPr>
      </w:pPr>
      <w:r>
        <w:rPr>
          <w:rFonts w:hint="eastAsia" w:ascii="宋体" w:hAnsi="宋体"/>
          <w:color w:val="000000"/>
        </w:rPr>
        <w:t xml:space="preserve"> </w:t>
      </w:r>
    </w:p>
    <w:p>
      <w:pPr>
        <w:widowControl/>
        <w:spacing w:line="360" w:lineRule="auto"/>
        <w:jc w:val="right"/>
        <w:rPr>
          <w:rFonts w:ascii="宋体" w:hAnsi="宋体"/>
          <w:kern w:val="0"/>
          <w:sz w:val="21"/>
          <w:szCs w:val="21"/>
        </w:rPr>
      </w:pPr>
      <w:r>
        <w:rPr>
          <w:rFonts w:hint="eastAsia" w:ascii="宋体" w:hAnsi="宋体"/>
          <w:kern w:val="0"/>
          <w:sz w:val="21"/>
          <w:szCs w:val="21"/>
        </w:rPr>
        <w:t>杭银理财有限责任公司</w:t>
      </w:r>
    </w:p>
    <w:p>
      <w:pPr>
        <w:rPr>
          <w:rFonts w:hint="eastAsia" w:ascii="宋体" w:hAnsi="Wingdings" w:cs="宋体"/>
          <w:color w:val="000000"/>
          <w:kern w:val="0"/>
        </w:rPr>
      </w:pPr>
    </w:p>
    <w:p/>
    <w:p>
      <w:r>
        <w:br w:type="page"/>
      </w:r>
    </w:p>
    <w:p>
      <w:pPr>
        <w:jc w:val="center"/>
        <w:rPr>
          <w:rFonts w:cs="黑体"/>
          <w:b/>
          <w:bCs/>
          <w:sz w:val="44"/>
          <w:szCs w:val="44"/>
        </w:rPr>
      </w:pPr>
      <w:r>
        <w:rPr>
          <w:rFonts w:hint="eastAsia" w:ascii="宋体" w:hAnsi="宋体"/>
          <w:b/>
          <w:bCs/>
          <w:sz w:val="32"/>
          <w:szCs w:val="32"/>
        </w:rPr>
        <w:t>杭银理财理财计划销售协议书</w:t>
      </w:r>
    </w:p>
    <w:p>
      <w:pPr>
        <w:jc w:val="center"/>
        <w:rPr>
          <w:rFonts w:ascii="宋体" w:hAnsi="宋体"/>
        </w:rPr>
      </w:pPr>
      <w:r>
        <w:rPr>
          <w:rFonts w:hint="eastAsia" w:ascii="宋体" w:hAnsi="宋体"/>
          <w:szCs w:val="21"/>
        </w:rPr>
        <w:t>（202101版）</w:t>
      </w:r>
    </w:p>
    <w:p>
      <w:pPr>
        <w:autoSpaceDE w:val="0"/>
        <w:spacing w:line="360" w:lineRule="auto"/>
        <w:jc w:val="center"/>
      </w:pPr>
    </w:p>
    <w:p>
      <w:pPr>
        <w:autoSpaceDE w:val="0"/>
        <w:spacing w:line="360" w:lineRule="auto"/>
        <w:ind w:firstLine="422" w:firstLineChars="200"/>
        <w:rPr>
          <w:rFonts w:ascii="宋体" w:hAnsi="宋体" w:cs="黑体"/>
          <w:b/>
          <w:bCs/>
        </w:rPr>
      </w:pPr>
      <w:r>
        <w:rPr>
          <w:rFonts w:hint="eastAsia" w:ascii="宋体" w:hAnsi="宋体" w:cs="黑体"/>
          <w:b/>
          <w:bCs/>
        </w:rPr>
        <w:t>特别提示：《杭银理财理财计划销售协议书（202101版）》与对应期次的理财计划投资协议书、投资者权益须知、风险揭示书及理财计划产品说明书共同构成完整且不可分割的理财计划合同。杭银理财有限责任公司（以下简称“杭银理财”）建议投资者在购买理财计划前认真阅读全套理财计划合同，投资者签署本协议书（含电子渠道签署）即视为已详细阅读理财计划合同并知悉相关风险，自愿投资购买理财计划、遵守合同约定并承担相应风险。</w:t>
      </w:r>
    </w:p>
    <w:p>
      <w:pPr>
        <w:autoSpaceDE w:val="0"/>
        <w:spacing w:line="360" w:lineRule="auto"/>
        <w:ind w:firstLine="422" w:firstLineChars="200"/>
        <w:rPr>
          <w:rFonts w:ascii="宋体" w:hAnsi="宋体" w:cs="黑体"/>
          <w:b/>
          <w:bCs/>
        </w:rPr>
      </w:pPr>
      <w:r>
        <w:rPr>
          <w:rFonts w:hint="eastAsia" w:ascii="宋体" w:hAnsi="宋体" w:cs="黑体"/>
          <w:b/>
          <w:bCs/>
        </w:rPr>
        <w:t>理财非存款、产品有风险、投资须谨慎，理财计划过往业绩不代表其未来表现，不等于理财计划实际收益。</w:t>
      </w:r>
    </w:p>
    <w:p>
      <w:pPr>
        <w:widowControl/>
        <w:autoSpaceDE w:val="0"/>
        <w:spacing w:line="360" w:lineRule="auto"/>
        <w:ind w:firstLine="420" w:firstLineChars="200"/>
        <w:rPr>
          <w:rFonts w:ascii="宋体" w:hAnsi="宋体" w:cs="黑体"/>
        </w:rPr>
      </w:pPr>
      <w:r>
        <w:rPr>
          <w:rFonts w:hint="eastAsia" w:ascii="宋体" w:hAnsi="宋体" w:cs="黑体"/>
        </w:rPr>
        <w:t>理财计划销售的相关法律主体为发行理财计划的理财公司、接受理财公司委托销售其发行理财计划的代理销售机构（以下简称“代理销售机构”）和投资者三方。理财公司是理财计划的设计发行方与管理人，代理销售机构面向投资者实施销售行为，两方共同承担理财计划的合规销售和投资者合法权益保护义务。</w:t>
      </w:r>
    </w:p>
    <w:p>
      <w:pPr>
        <w:widowControl/>
        <w:autoSpaceDE w:val="0"/>
        <w:spacing w:line="360" w:lineRule="auto"/>
        <w:ind w:firstLine="420" w:firstLineChars="200"/>
        <w:rPr>
          <w:rFonts w:ascii="宋体" w:hAnsi="宋体" w:cs="黑体"/>
        </w:rPr>
      </w:pPr>
      <w:r>
        <w:rPr>
          <w:rFonts w:hint="eastAsia" w:ascii="宋体" w:hAnsi="宋体" w:cs="黑体"/>
        </w:rPr>
        <w:t>投资者与代理销售机构经平等友好协商，本着自愿、诚实信用原则，就投资者购买代理销售机构代理销售的理财计划有关事宜达成如下协议（以下简称“本协议”）：</w:t>
      </w:r>
    </w:p>
    <w:p>
      <w:pPr>
        <w:widowControl/>
        <w:autoSpaceDE w:val="0"/>
        <w:spacing w:line="360" w:lineRule="auto"/>
        <w:ind w:firstLine="420" w:firstLineChars="200"/>
        <w:rPr>
          <w:rFonts w:ascii="宋体" w:hAnsi="宋体" w:cs="黑体"/>
        </w:rPr>
      </w:pPr>
    </w:p>
    <w:p>
      <w:pPr>
        <w:widowControl/>
        <w:autoSpaceDE w:val="0"/>
        <w:spacing w:line="360" w:lineRule="auto"/>
        <w:ind w:left="422"/>
        <w:rPr>
          <w:rFonts w:ascii="宋体" w:hAnsi="宋体" w:cs="黑体"/>
          <w:b/>
          <w:bCs/>
        </w:rPr>
      </w:pPr>
      <w:r>
        <w:rPr>
          <w:rFonts w:hint="eastAsia" w:ascii="宋体" w:hAnsi="宋体" w:cs="黑体"/>
          <w:b/>
          <w:bCs/>
        </w:rPr>
        <w:t>第一条 名词释义</w:t>
      </w:r>
    </w:p>
    <w:p>
      <w:pPr>
        <w:widowControl/>
        <w:autoSpaceDE w:val="0"/>
        <w:spacing w:line="360" w:lineRule="auto"/>
        <w:ind w:firstLine="420" w:firstLineChars="200"/>
        <w:jc w:val="left"/>
        <w:rPr>
          <w:rFonts w:ascii="宋体" w:hAnsi="宋体" w:cs="黑体"/>
        </w:rPr>
      </w:pPr>
      <w:r>
        <w:rPr>
          <w:rFonts w:hint="eastAsia" w:ascii="宋体" w:hAnsi="宋体" w:cs="黑体"/>
        </w:rPr>
        <w:t>详见对应期次的理财计划产品说明书“释义”部分。</w:t>
      </w:r>
    </w:p>
    <w:p>
      <w:pPr>
        <w:widowControl/>
        <w:autoSpaceDE w:val="0"/>
        <w:spacing w:line="360" w:lineRule="auto"/>
        <w:ind w:firstLine="420" w:firstLineChars="200"/>
        <w:jc w:val="left"/>
        <w:rPr>
          <w:rFonts w:ascii="宋体" w:hAnsi="宋体" w:cs="黑体"/>
        </w:rPr>
      </w:pPr>
    </w:p>
    <w:p>
      <w:pPr>
        <w:widowControl/>
        <w:autoSpaceDE w:val="0"/>
        <w:spacing w:line="360" w:lineRule="auto"/>
        <w:ind w:firstLine="420"/>
        <w:rPr>
          <w:rFonts w:ascii="宋体" w:hAnsi="宋体" w:cs="黑体"/>
          <w:b/>
          <w:bCs/>
        </w:rPr>
      </w:pPr>
      <w:r>
        <w:rPr>
          <w:rFonts w:hint="eastAsia" w:ascii="宋体" w:hAnsi="宋体" w:cs="黑体"/>
          <w:b/>
          <w:bCs/>
        </w:rPr>
        <w:t>第二条 投资者权利与义务</w:t>
      </w:r>
    </w:p>
    <w:p>
      <w:pPr>
        <w:widowControl/>
        <w:spacing w:line="360" w:lineRule="auto"/>
        <w:ind w:firstLine="420"/>
        <w:contextualSpacing/>
        <w:rPr>
          <w:rFonts w:ascii="宋体" w:hAnsi="宋体" w:cs="黑体"/>
        </w:rPr>
      </w:pPr>
      <w:r>
        <w:rPr>
          <w:rFonts w:hint="eastAsia" w:ascii="宋体" w:hAnsi="宋体" w:cs="黑体"/>
        </w:rPr>
        <w:t>（一）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黑体"/>
          <w:color w:val="000000"/>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spacing w:line="360" w:lineRule="auto"/>
        <w:ind w:firstLine="420"/>
        <w:contextualSpacing/>
        <w:rPr>
          <w:rFonts w:ascii="宋体" w:hAnsi="宋体" w:cs="黑体"/>
        </w:rPr>
      </w:pPr>
      <w:r>
        <w:rPr>
          <w:rFonts w:hint="eastAsia" w:ascii="宋体" w:hAnsi="宋体" w:cs="黑体"/>
        </w:rPr>
        <w:t>（二）投资者保证自身完全了解理财投资的性质，投资所涉及的风险以及自身风险承受能力，在慎重考虑后独立作出交易决定。</w:t>
      </w:r>
    </w:p>
    <w:p>
      <w:pPr>
        <w:widowControl/>
        <w:spacing w:line="360" w:lineRule="auto"/>
        <w:ind w:firstLine="420"/>
        <w:contextualSpacing/>
        <w:rPr>
          <w:rFonts w:ascii="宋体" w:hAnsi="宋体" w:cs="黑体"/>
        </w:rPr>
      </w:pPr>
      <w:r>
        <w:rPr>
          <w:rFonts w:hint="eastAsia" w:ascii="宋体" w:hAnsi="宋体" w:cs="黑体"/>
          <w:b/>
          <w:bCs/>
        </w:rPr>
        <w:t>（三）投资者购买代理销售机构代理销售的私募理财计划后，可以享有24 小时的投资冷静期，在投资冷静期内，如投资者改变投资决定，应提出解除相应理财计划合同文件申请，代理销售机构将及时退还投资者的全部投资款项。</w:t>
      </w:r>
      <w:r>
        <w:rPr>
          <w:rFonts w:hint="eastAsia" w:ascii="宋体" w:hAnsi="宋体" w:cs="黑体"/>
        </w:rPr>
        <w:t>投资冷静期相关约定详见理财计划产品说明书。</w:t>
      </w:r>
    </w:p>
    <w:p>
      <w:pPr>
        <w:widowControl/>
        <w:spacing w:line="360" w:lineRule="auto"/>
        <w:ind w:left="420"/>
        <w:contextualSpacing/>
        <w:rPr>
          <w:rFonts w:ascii="宋体" w:hAnsi="宋体" w:cs="黑体"/>
        </w:rPr>
      </w:pPr>
      <w:r>
        <w:rPr>
          <w:rFonts w:hint="eastAsia" w:ascii="宋体" w:hAnsi="宋体" w:cs="黑体"/>
        </w:rPr>
        <w:t>（四）投资者保证其有权利签署本协议和履行本协议所述的义务，并已为此采取一切所需的行为。</w:t>
      </w:r>
    </w:p>
    <w:p>
      <w:pPr>
        <w:widowControl/>
        <w:spacing w:line="360" w:lineRule="auto"/>
        <w:ind w:firstLine="420"/>
        <w:contextualSpacing/>
        <w:rPr>
          <w:rFonts w:ascii="宋体" w:hAnsi="宋体" w:cs="黑体"/>
        </w:rPr>
      </w:pPr>
      <w:r>
        <w:rPr>
          <w:rFonts w:hint="eastAsia" w:ascii="宋体" w:hAnsi="宋体" w:cs="黑体"/>
        </w:rPr>
        <w:t>（五）投资者保证执行及交付任何文件或履行本协议项下的义务，均不会违反任何适用法律、法规、法令或法律限制；不会违反任何法院或政府机关所作出的适用于投资者或投资者任何资产的判决或指令；不会违反对投资者或投资者任何资产有约束力的任何重大协议条款。投资者应在签署本协议的同时在其授权指定的账户中（以下简称“授权指定账户”）存入足额的资金以确保账户余额大于或等于认/申购金额。</w:t>
      </w:r>
    </w:p>
    <w:p>
      <w:pPr>
        <w:widowControl/>
        <w:spacing w:line="360" w:lineRule="auto"/>
        <w:ind w:firstLine="420"/>
        <w:contextualSpacing/>
        <w:rPr>
          <w:rFonts w:ascii="宋体" w:hAnsi="宋体" w:cs="黑体"/>
        </w:rPr>
      </w:pPr>
      <w:r>
        <w:rPr>
          <w:rFonts w:hint="eastAsia" w:ascii="宋体" w:hAnsi="宋体" w:cs="黑体"/>
          <w:b/>
          <w:bCs/>
        </w:rPr>
        <w:t>（六）投资者在此确认代理销售机构的系统记录以及录音、录像构成对投资者操作行为（包括但不限于购买、赎回、撤单）的有效证据，并且在双方发生争议时可以作为合法有效的证据使用</w:t>
      </w:r>
      <w:r>
        <w:rPr>
          <w:rFonts w:hint="eastAsia" w:ascii="宋体" w:hAnsi="宋体" w:cs="黑体"/>
        </w:rPr>
        <w:t>。</w:t>
      </w:r>
    </w:p>
    <w:p>
      <w:pPr>
        <w:widowControl/>
        <w:spacing w:line="360" w:lineRule="auto"/>
        <w:ind w:firstLine="420"/>
        <w:contextualSpacing/>
        <w:rPr>
          <w:rFonts w:ascii="宋体" w:hAnsi="宋体" w:cs="黑体"/>
        </w:rPr>
      </w:pPr>
      <w:r>
        <w:rPr>
          <w:rFonts w:hint="eastAsia" w:ascii="宋体" w:hAnsi="宋体" w:cs="黑体"/>
        </w:rPr>
        <w:t xml:space="preserve">（七）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代理销售机构对此不承担任何责任。 </w:t>
      </w:r>
    </w:p>
    <w:p>
      <w:pPr>
        <w:widowControl/>
        <w:spacing w:line="360" w:lineRule="auto"/>
        <w:ind w:firstLine="420"/>
        <w:contextualSpacing/>
        <w:rPr>
          <w:rFonts w:ascii="宋体" w:hAnsi="宋体" w:cs="黑体"/>
        </w:rPr>
      </w:pPr>
      <w:r>
        <w:rPr>
          <w:rFonts w:hint="eastAsia" w:ascii="宋体" w:hAnsi="宋体" w:cs="黑体"/>
        </w:rPr>
        <w:t xml:space="preserve">（八）在本理财计划存续期内，如有权机关要求代理销售机构配合对投资者理财份额、理财账户、授权指定账户进行查封、冻结或扣划的，代理销售机构有权根据实际情况采取相应措施。代理销售机构对上述后果不承担任何责任。 </w:t>
      </w:r>
    </w:p>
    <w:p>
      <w:pPr>
        <w:widowControl/>
        <w:spacing w:line="360" w:lineRule="auto"/>
        <w:ind w:firstLine="420"/>
        <w:contextualSpacing/>
        <w:rPr>
          <w:rFonts w:ascii="宋体" w:hAnsi="宋体" w:cs="黑体"/>
        </w:rPr>
      </w:pPr>
      <w:r>
        <w:rPr>
          <w:rFonts w:hint="eastAsia" w:ascii="宋体" w:hAnsi="宋体" w:cs="黑体"/>
        </w:rPr>
        <w:t>（九）本协议终止前，投资者不得将授权指定账户销户。若发生因投资者注销授权指定账户造成理财计划无法正常兑付的，代理销售机构不承担任何责任。</w:t>
      </w:r>
    </w:p>
    <w:p>
      <w:pPr>
        <w:widowControl/>
        <w:spacing w:line="360" w:lineRule="auto"/>
        <w:ind w:firstLine="420"/>
        <w:contextualSpacing/>
        <w:rPr>
          <w:rFonts w:ascii="宋体" w:hAnsi="宋体" w:cs="黑体"/>
        </w:rPr>
      </w:pPr>
      <w:r>
        <w:rPr>
          <w:rFonts w:hint="eastAsia" w:ascii="宋体" w:hAnsi="宋体" w:cs="黑体"/>
        </w:rPr>
        <w:t xml:space="preserve">（十）投资者应确保其提供的所有资料真实、完整、合法、有效，如果有任何变更，投资者应及时通知代理销售机构并办理变更手续。如因投资者未及时通知代理销售机构并办理相应的变更手续，由此导致的一切后果由投资者自行承担，代理销售机构对此不承担任何责任。 </w:t>
      </w:r>
    </w:p>
    <w:p>
      <w:pPr>
        <w:widowControl/>
        <w:spacing w:line="360" w:lineRule="auto"/>
        <w:ind w:firstLine="420"/>
        <w:contextualSpacing/>
        <w:rPr>
          <w:rFonts w:ascii="宋体" w:hAnsi="宋体" w:cs="黑体"/>
        </w:rPr>
      </w:pPr>
      <w:r>
        <w:rPr>
          <w:rFonts w:hint="eastAsia" w:ascii="宋体" w:hAnsi="宋体" w:cs="黑体"/>
        </w:rPr>
        <w:t>（十一）投资者对本协议及其条款负有保密义务，未经代理销售机构书面许可，不得向任何组织、个人提供或泄露与代理销售机构有关的业务资料及信息，但法律、法规另有规定的除外。</w:t>
      </w:r>
    </w:p>
    <w:p>
      <w:pPr>
        <w:widowControl/>
        <w:spacing w:line="360" w:lineRule="auto"/>
        <w:ind w:left="420"/>
        <w:contextualSpacing/>
        <w:rPr>
          <w:rFonts w:ascii="宋体" w:hAnsi="宋体" w:cs="黑体"/>
        </w:rPr>
      </w:pPr>
      <w:r>
        <w:rPr>
          <w:rFonts w:hint="eastAsia" w:ascii="宋体" w:hAnsi="宋体" w:cs="黑体"/>
        </w:rPr>
        <w:t>（十二）投资者进行投资时，应严格遵守反洗钱相关法规的规定，切实履行反洗钱及反恐怖融资义务。</w:t>
      </w:r>
    </w:p>
    <w:p>
      <w:pPr>
        <w:widowControl/>
        <w:spacing w:line="360" w:lineRule="auto"/>
        <w:ind w:left="420"/>
        <w:contextualSpacing/>
        <w:rPr>
          <w:rFonts w:ascii="宋体" w:hAnsi="宋体" w:cs="黑体"/>
          <w:b/>
          <w:bCs/>
        </w:rPr>
      </w:pPr>
      <w:r>
        <w:rPr>
          <w:rFonts w:hint="eastAsia" w:ascii="宋体" w:hAnsi="宋体" w:cs="黑体"/>
          <w:b/>
          <w:bCs/>
        </w:rPr>
        <w:t>（十三）投资者个人信息授权</w:t>
      </w:r>
    </w:p>
    <w:p>
      <w:pPr>
        <w:widowControl/>
        <w:spacing w:line="360" w:lineRule="auto"/>
        <w:ind w:firstLine="422" w:firstLineChars="200"/>
        <w:contextualSpacing/>
        <w:rPr>
          <w:rFonts w:ascii="宋体" w:hAnsi="宋体" w:cs="黑体"/>
          <w:b/>
          <w:bCs/>
        </w:rPr>
      </w:pPr>
      <w:r>
        <w:rPr>
          <w:rFonts w:hint="eastAsia" w:ascii="宋体" w:hAnsi="宋体" w:cs="黑体"/>
          <w:b/>
          <w:bCs/>
        </w:rPr>
        <w:t>基于代理销售机构履行本协议、进行服务管理和风险管理、报送监管信息等需要，履行反洗钱、投资者资质审核和销售适当性等法律法规和监管要求的义务，投资者在此同意并授权代理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spacing w:line="360" w:lineRule="auto"/>
        <w:ind w:firstLine="422" w:firstLineChars="200"/>
        <w:contextualSpacing/>
        <w:rPr>
          <w:rFonts w:ascii="宋体" w:hAnsi="宋体" w:cs="黑体"/>
          <w:b/>
          <w:bCs/>
        </w:rPr>
      </w:pPr>
    </w:p>
    <w:p>
      <w:pPr>
        <w:widowControl/>
        <w:autoSpaceDE w:val="0"/>
        <w:spacing w:line="360" w:lineRule="auto"/>
        <w:ind w:firstLine="420"/>
        <w:rPr>
          <w:rFonts w:ascii="宋体" w:hAnsi="宋体" w:cs="黑体"/>
          <w:b/>
          <w:bCs/>
        </w:rPr>
      </w:pPr>
      <w:r>
        <w:rPr>
          <w:rFonts w:hint="eastAsia" w:ascii="宋体" w:hAnsi="宋体" w:cs="黑体"/>
          <w:b/>
          <w:bCs/>
        </w:rPr>
        <w:t>第三条 代理销售机构的权利与义务</w:t>
      </w:r>
    </w:p>
    <w:p>
      <w:pPr>
        <w:widowControl/>
        <w:autoSpaceDE w:val="0"/>
        <w:spacing w:line="360" w:lineRule="auto"/>
        <w:ind w:firstLine="420"/>
        <w:contextualSpacing/>
        <w:jc w:val="left"/>
        <w:rPr>
          <w:rFonts w:ascii="宋体" w:hAnsi="宋体" w:cs="黑体"/>
        </w:rPr>
      </w:pPr>
      <w:r>
        <w:rPr>
          <w:rFonts w:hint="eastAsia" w:ascii="宋体" w:hAnsi="宋体" w:cs="黑体"/>
        </w:rPr>
        <w:t>（一）代理销售机构应对拟销售的理财计划开展尽职调查，承担审批职责，并纳入本机构统一专门名单管理，不得仅以管理人相关产品资料或其出具意见作为审批依据。代理销售机构应当根据本机构的方式和方法，独立、审慎地对代理销售的理财计划进行销售评级。销售评级与管理人产品评级结果不一致的，代理销售机构应当采用对应较高风险等级的评级结果并予以披露。</w:t>
      </w:r>
    </w:p>
    <w:p>
      <w:pPr>
        <w:widowControl/>
        <w:autoSpaceDE w:val="0"/>
        <w:spacing w:line="360" w:lineRule="auto"/>
        <w:ind w:firstLine="420"/>
        <w:contextualSpacing/>
        <w:jc w:val="left"/>
        <w:rPr>
          <w:rFonts w:ascii="宋体" w:hAnsi="宋体" w:cs="黑体"/>
        </w:rPr>
      </w:pPr>
      <w:r>
        <w:rPr>
          <w:rFonts w:hint="eastAsia" w:ascii="宋体" w:hAnsi="宋体" w:cs="黑体"/>
          <w:b/>
          <w:bCs/>
        </w:rPr>
        <w:t>（二）代理销售机构非本计划的发行、管理机构，对本计划的业绩不承担任何保证和其他经济责任，不承担本计划的投资、兑付和风险管理责任</w:t>
      </w:r>
      <w:r>
        <w:rPr>
          <w:rFonts w:hint="eastAsia" w:ascii="宋体" w:hAnsi="宋体" w:cs="黑体"/>
        </w:rPr>
        <w:t>。</w:t>
      </w:r>
    </w:p>
    <w:p>
      <w:pPr>
        <w:widowControl/>
        <w:autoSpaceDE w:val="0"/>
        <w:spacing w:line="360" w:lineRule="auto"/>
        <w:ind w:firstLine="420"/>
        <w:contextualSpacing/>
        <w:rPr>
          <w:rFonts w:ascii="宋体" w:hAnsi="宋体" w:cs="黑体"/>
        </w:rPr>
      </w:pPr>
      <w:r>
        <w:rPr>
          <w:rFonts w:hint="eastAsia" w:ascii="宋体" w:hAnsi="宋体" w:cs="黑体"/>
        </w:rPr>
        <w:t>（三）代理销售机构应定期对购买其代理销售的理财计划的非机构投资者进行有效风险承受能力评估，并保证向投资者推介及销售与其风险承受能力匹配的产品。</w:t>
      </w:r>
    </w:p>
    <w:p>
      <w:pPr>
        <w:widowControl/>
        <w:autoSpaceDE w:val="0"/>
        <w:spacing w:line="360" w:lineRule="auto"/>
        <w:ind w:firstLine="420"/>
        <w:contextualSpacing/>
        <w:jc w:val="left"/>
        <w:rPr>
          <w:rFonts w:ascii="宋体" w:hAnsi="宋体" w:cs="黑体"/>
        </w:rPr>
      </w:pPr>
      <w:r>
        <w:rPr>
          <w:rFonts w:hint="eastAsia" w:ascii="宋体" w:hAnsi="宋体" w:cs="黑体"/>
        </w:rPr>
        <w:t>（四）对于通过营业网点向非机构投资者销售理财计划的，代理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widowControl/>
        <w:autoSpaceDE w:val="0"/>
        <w:spacing w:line="360" w:lineRule="auto"/>
        <w:ind w:firstLine="420"/>
        <w:contextualSpacing/>
        <w:rPr>
          <w:rFonts w:ascii="宋体" w:hAnsi="宋体" w:cs="黑体"/>
        </w:rPr>
      </w:pPr>
      <w:r>
        <w:rPr>
          <w:rFonts w:hint="eastAsia" w:ascii="宋体" w:hAnsi="宋体" w:cs="黑体"/>
        </w:rPr>
        <w:t>（五）代理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widowControl/>
        <w:autoSpaceDE w:val="0"/>
        <w:spacing w:line="360" w:lineRule="auto"/>
        <w:ind w:firstLine="420"/>
        <w:contextualSpacing/>
        <w:jc w:val="left"/>
        <w:rPr>
          <w:rFonts w:ascii="宋体" w:hAnsi="宋体" w:cs="黑体"/>
        </w:rPr>
      </w:pPr>
      <w:r>
        <w:rPr>
          <w:rFonts w:hint="eastAsia" w:ascii="宋体" w:hAnsi="宋体" w:cs="黑体"/>
        </w:rPr>
        <w:t>（六）代理销售机构应建立健全上岗资格、持续培训、信息公示与查询核实等制度并有效执行。未经代理销售机构进行上岗资格认定并签订劳动合同，任何人员不得从事理财计划销售业务活动。</w:t>
      </w:r>
    </w:p>
    <w:p>
      <w:pPr>
        <w:widowControl/>
        <w:autoSpaceDE w:val="0"/>
        <w:spacing w:line="360" w:lineRule="auto"/>
        <w:ind w:firstLine="420"/>
        <w:contextualSpacing/>
        <w:jc w:val="left"/>
        <w:rPr>
          <w:rFonts w:ascii="宋体" w:hAnsi="宋体" w:cs="黑体"/>
        </w:rPr>
      </w:pPr>
      <w:r>
        <w:rPr>
          <w:rFonts w:hint="eastAsia" w:ascii="宋体" w:hAnsi="宋体" w:cs="黑体"/>
        </w:rPr>
        <w:t>（七）代理销售机构应对所有销售人员信息进行登记和公示。销售人员在向投资者宣传销售理财计划前进行自我介绍并告知信息查询和核实渠道，便于投资者查询核实，防止伪冒身份和虚假宣传。</w:t>
      </w:r>
    </w:p>
    <w:p>
      <w:pPr>
        <w:widowControl/>
        <w:autoSpaceDE w:val="0"/>
        <w:spacing w:line="360" w:lineRule="auto"/>
        <w:ind w:firstLine="420"/>
        <w:contextualSpacing/>
        <w:jc w:val="left"/>
        <w:rPr>
          <w:rFonts w:ascii="宋体" w:hAnsi="宋体" w:cs="黑体"/>
        </w:rPr>
      </w:pPr>
      <w:r>
        <w:rPr>
          <w:rFonts w:hint="eastAsia" w:ascii="宋体" w:hAnsi="宋体" w:cs="黑体"/>
        </w:rPr>
        <w:t>（八）代理销售机构对投资者负有信息保密义务，未经投资者书面许可，乙方不得向任何组织、个人提供或泄露与甲方有关的业务资料及信息，但法律、法规另有规定的除外。</w:t>
      </w:r>
    </w:p>
    <w:p>
      <w:pPr>
        <w:widowControl/>
        <w:autoSpaceDE w:val="0"/>
        <w:spacing w:line="360" w:lineRule="auto"/>
        <w:ind w:firstLine="420"/>
        <w:contextualSpacing/>
        <w:jc w:val="left"/>
        <w:rPr>
          <w:rFonts w:ascii="宋体" w:hAnsi="宋体" w:cs="黑体"/>
        </w:rPr>
      </w:pPr>
      <w:r>
        <w:rPr>
          <w:rFonts w:hint="eastAsia" w:ascii="宋体" w:hAnsi="宋体" w:cs="黑体"/>
        </w:rPr>
        <w:t>（九）代理销售机构应按照法律法规、监管规定、理财计划合同的约定收取销售费用，并如实核算、记账。未经载明，不得对不同投资者适用不同费率。</w:t>
      </w:r>
    </w:p>
    <w:p>
      <w:pPr>
        <w:widowControl/>
        <w:autoSpaceDE w:val="0"/>
        <w:spacing w:line="360" w:lineRule="auto"/>
        <w:ind w:firstLine="420"/>
        <w:contextualSpacing/>
        <w:jc w:val="left"/>
        <w:rPr>
          <w:rFonts w:ascii="宋体" w:hAnsi="宋体" w:cs="黑体"/>
        </w:rPr>
      </w:pPr>
      <w:r>
        <w:rPr>
          <w:rFonts w:hint="eastAsia" w:ascii="宋体" w:hAnsi="宋体" w:cs="黑体"/>
        </w:rPr>
        <w:t>（十）理财计划销售结算资金属于理财计划投资者，代理销售机构不得挪用理财计划销售结算资金或将理财计划销售结算资金归入自有资产。</w:t>
      </w:r>
    </w:p>
    <w:p>
      <w:pPr>
        <w:widowControl/>
        <w:autoSpaceDE w:val="0"/>
        <w:spacing w:line="360" w:lineRule="auto"/>
        <w:ind w:firstLine="420"/>
        <w:contextualSpacing/>
        <w:jc w:val="left"/>
        <w:rPr>
          <w:rFonts w:ascii="宋体" w:hAnsi="宋体" w:cs="黑体"/>
        </w:rPr>
      </w:pPr>
      <w:r>
        <w:rPr>
          <w:rFonts w:hint="eastAsia" w:ascii="宋体" w:hAnsi="宋体" w:cs="黑体"/>
        </w:rPr>
        <w:t>（十一）代理销售机构应遵守相关法律、法规、监管规定及理财计划合同约定，诚实守信、勤勉尽责，向购买理财计划的投资者充分传递管理人披露的产品相关信息并进行充分的风险揭示。</w:t>
      </w:r>
    </w:p>
    <w:p>
      <w:pPr>
        <w:widowControl/>
        <w:autoSpaceDE w:val="0"/>
        <w:spacing w:line="360" w:lineRule="auto"/>
        <w:ind w:firstLine="420"/>
        <w:contextualSpacing/>
        <w:jc w:val="left"/>
        <w:rPr>
          <w:rFonts w:ascii="宋体" w:hAnsi="宋体" w:cs="黑体"/>
        </w:rPr>
      </w:pPr>
      <w:r>
        <w:rPr>
          <w:rFonts w:hint="eastAsia" w:ascii="宋体" w:hAnsi="宋体" w:cs="黑体"/>
        </w:rPr>
        <w:t>（十二）代理销售机构应当充分利用科技手段，加强对伪冒网站、伪冒产品等监测，有效防范各类欺诈风险。</w:t>
      </w:r>
    </w:p>
    <w:p>
      <w:pPr>
        <w:widowControl/>
        <w:autoSpaceDE w:val="0"/>
        <w:spacing w:line="360" w:lineRule="auto"/>
        <w:ind w:left="482"/>
        <w:contextualSpacing/>
        <w:jc w:val="left"/>
        <w:rPr>
          <w:rFonts w:ascii="宋体" w:hAnsi="宋体" w:cs="黑体"/>
          <w:b/>
          <w:bCs/>
        </w:rPr>
      </w:pPr>
    </w:p>
    <w:p>
      <w:pPr>
        <w:widowControl/>
        <w:autoSpaceDE w:val="0"/>
        <w:spacing w:line="360" w:lineRule="auto"/>
        <w:ind w:firstLine="420"/>
        <w:rPr>
          <w:rFonts w:ascii="宋体" w:hAnsi="宋体" w:cs="黑体"/>
          <w:b/>
          <w:bCs/>
        </w:rPr>
      </w:pPr>
      <w:r>
        <w:rPr>
          <w:rFonts w:hint="eastAsia" w:ascii="宋体" w:hAnsi="宋体" w:cs="黑体"/>
          <w:b/>
          <w:bCs/>
        </w:rPr>
        <w:t>第四条 理财计划认（申）购、赎回及终止</w:t>
      </w:r>
    </w:p>
    <w:p>
      <w:pPr>
        <w:widowControl/>
        <w:autoSpaceDE w:val="0"/>
        <w:spacing w:line="360" w:lineRule="auto"/>
        <w:ind w:left="420"/>
        <w:contextualSpacing/>
        <w:rPr>
          <w:rFonts w:ascii="宋体" w:hAnsi="宋体" w:cs="黑体"/>
        </w:rPr>
      </w:pPr>
      <w:r>
        <w:rPr>
          <w:rFonts w:hint="eastAsia" w:ascii="宋体" w:hAnsi="宋体" w:cs="黑体"/>
        </w:rPr>
        <w:t xml:space="preserve">（一）理财计划认/申购办理流程：参照投资者权益须知约定。 </w:t>
      </w:r>
    </w:p>
    <w:p>
      <w:pPr>
        <w:widowControl/>
        <w:autoSpaceDE w:val="0"/>
        <w:spacing w:line="360" w:lineRule="auto"/>
        <w:ind w:left="420"/>
        <w:contextualSpacing/>
        <w:rPr>
          <w:rFonts w:ascii="宋体" w:hAnsi="宋体" w:cs="黑体"/>
        </w:rPr>
      </w:pPr>
      <w:r>
        <w:rPr>
          <w:rFonts w:hint="eastAsia" w:ascii="宋体" w:hAnsi="宋体" w:cs="黑体"/>
        </w:rPr>
        <w:t>（二）理财计划认/申购确认：管理人根据代理销售渠道提供的交易信息及资金划付对投资者相应认/申购进行确认。</w:t>
      </w:r>
    </w:p>
    <w:p>
      <w:pPr>
        <w:widowControl/>
        <w:autoSpaceDE w:val="0"/>
        <w:spacing w:line="360" w:lineRule="auto"/>
        <w:ind w:firstLine="420"/>
        <w:contextualSpacing/>
        <w:rPr>
          <w:rFonts w:ascii="宋体" w:hAnsi="宋体" w:cs="黑体"/>
        </w:rPr>
      </w:pPr>
      <w:r>
        <w:rPr>
          <w:rFonts w:hint="eastAsia" w:ascii="宋体" w:hAnsi="宋体" w:cs="黑体"/>
        </w:rPr>
        <w:t xml:space="preserve">（三）理财计划不成立：若在募集期结束日，本理财计划发行规模未能达到对应期次的理财计划产品说明书规定的要求，则本理财计划不成立，代理销售机构将按对应期次的理财计划产品说明书约定条款向投资者进行公告，并将及时解除对投资者授权指定账户中认购资金的冻结。 </w:t>
      </w:r>
    </w:p>
    <w:p>
      <w:pPr>
        <w:widowControl/>
        <w:autoSpaceDE w:val="0"/>
        <w:spacing w:line="360" w:lineRule="auto"/>
        <w:ind w:firstLine="420"/>
        <w:contextualSpacing/>
        <w:rPr>
          <w:rFonts w:ascii="宋体" w:hAnsi="宋体" w:cs="黑体"/>
        </w:rPr>
      </w:pPr>
      <w:r>
        <w:rPr>
          <w:rFonts w:hint="eastAsia" w:ascii="宋体" w:hAnsi="宋体" w:cs="黑体"/>
        </w:rPr>
        <w:t xml:space="preserve">（四）理财计划投资品种、投资起点金额、收益支付方式：参照对应期次的理财计划产品说明书中的条款约定。 </w:t>
      </w:r>
    </w:p>
    <w:p>
      <w:pPr>
        <w:widowControl/>
        <w:autoSpaceDE w:val="0"/>
        <w:spacing w:line="360" w:lineRule="auto"/>
        <w:ind w:firstLine="420"/>
        <w:contextualSpacing/>
        <w:rPr>
          <w:rFonts w:ascii="宋体" w:hAnsi="宋体" w:cs="黑体"/>
        </w:rPr>
      </w:pPr>
      <w:r>
        <w:rPr>
          <w:rFonts w:hint="eastAsia" w:ascii="宋体" w:hAnsi="宋体" w:cs="黑体"/>
        </w:rPr>
        <w:t>（五）理财计划赎回/终止兑付：在正常情况下，管理人和代理销售机构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理财计划产品说明书约定管理人对理财计划进行延期或转换时，代理销售机构将于原约定清算日前通过信息披露途径及时通知，并根据实际情况进行后续处理。</w:t>
      </w:r>
    </w:p>
    <w:p>
      <w:pPr>
        <w:widowControl/>
        <w:autoSpaceDE w:val="0"/>
        <w:spacing w:line="360" w:lineRule="auto"/>
        <w:ind w:firstLine="420"/>
        <w:contextualSpacing/>
        <w:rPr>
          <w:rFonts w:ascii="宋体" w:hAnsi="宋体" w:cs="黑体"/>
        </w:rPr>
      </w:pPr>
      <w:r>
        <w:rPr>
          <w:rFonts w:hint="eastAsia" w:ascii="宋体" w:hAnsi="宋体" w:cs="黑体"/>
        </w:rPr>
        <w:t>（六）资金清算：理财计划终止或份额赎回时，管理人按理财计划合同约定划付至代理销售机构清算账户后，由代理销售机构向投资者划付投资者应得资金。如因投资者清算账户余额不足，或代理销售机构未及时足额划付资金，或代理销售机构清算账户内资金被依法冻结或扣划，或代理销售机构清算账户处于被挂失、冻结、注销或其他非正常状态等原因而导致交易失败，对于因上述原因导致的交易失败可能带来的任何损失及预期损失，投资者须自行承担或向代理销售机构依法主张。</w:t>
      </w:r>
    </w:p>
    <w:p>
      <w:pPr>
        <w:widowControl/>
        <w:autoSpaceDE w:val="0"/>
        <w:spacing w:line="360" w:lineRule="auto"/>
        <w:ind w:left="178" w:leftChars="85"/>
        <w:contextualSpacing/>
        <w:rPr>
          <w:rFonts w:ascii="宋体" w:hAnsi="宋体" w:cs="黑体"/>
          <w:b/>
          <w:bCs/>
        </w:rPr>
      </w:pPr>
    </w:p>
    <w:p>
      <w:pPr>
        <w:widowControl/>
        <w:autoSpaceDE w:val="0"/>
        <w:spacing w:line="360" w:lineRule="auto"/>
        <w:ind w:firstLine="420"/>
        <w:rPr>
          <w:rFonts w:ascii="宋体" w:hAnsi="宋体" w:cs="黑体"/>
          <w:b/>
          <w:bCs/>
        </w:rPr>
      </w:pPr>
      <w:r>
        <w:rPr>
          <w:rFonts w:hint="eastAsia" w:ascii="宋体" w:hAnsi="宋体" w:cs="黑体"/>
          <w:b/>
          <w:bCs/>
        </w:rPr>
        <w:t>第五条 违约责任及免责条款</w:t>
      </w:r>
    </w:p>
    <w:p>
      <w:pPr>
        <w:widowControl/>
        <w:autoSpaceDE w:val="0"/>
        <w:spacing w:line="360" w:lineRule="auto"/>
        <w:ind w:firstLine="420"/>
        <w:contextualSpacing/>
        <w:rPr>
          <w:rFonts w:ascii="宋体" w:hAnsi="宋体" w:cs="黑体"/>
        </w:rPr>
      </w:pPr>
      <w:r>
        <w:rPr>
          <w:rFonts w:hint="eastAsia" w:ascii="宋体" w:hAnsi="宋体" w:cs="黑体"/>
        </w:rPr>
        <w:t>（一）若因投资者原因导致司法或行政等有权机关采取强制措施对其理财本金、收益进行部分或全部被扣划，均视投资者本人就全部理财本金进行了提前支取，本协议自动终止。因提前终止而产生的损失及相关费用由投资者承担。本协议因前述情况终止的，理财本金不计付支取日前的理财收益，也不计付存款利息。</w:t>
      </w:r>
    </w:p>
    <w:p>
      <w:pPr>
        <w:widowControl/>
        <w:autoSpaceDE w:val="0"/>
        <w:spacing w:line="360" w:lineRule="auto"/>
        <w:ind w:firstLine="420"/>
        <w:contextualSpacing/>
        <w:rPr>
          <w:rFonts w:ascii="宋体" w:hAnsi="宋体" w:cs="黑体"/>
        </w:rPr>
      </w:pPr>
      <w:r>
        <w:rPr>
          <w:rFonts w:hint="eastAsia" w:ascii="宋体" w:hAnsi="宋体" w:cs="黑体"/>
        </w:rPr>
        <w:t>（二）投资者违反本协议第二条内容，应承担相应违约责任。代理销售机构对由此导致的理财业务交易延误、中断、终止及投资者损失不承担任何责任，并有权单方终止双方理财业务关系。因投资者违反双方约定给代理销售机构或全体投资者造成损失的，投资者应承担相应的赔偿责任。</w:t>
      </w:r>
    </w:p>
    <w:p>
      <w:pPr>
        <w:widowControl/>
        <w:autoSpaceDE w:val="0"/>
        <w:spacing w:line="360" w:lineRule="auto"/>
        <w:ind w:firstLine="420"/>
        <w:contextualSpacing/>
        <w:rPr>
          <w:rFonts w:ascii="宋体" w:hAnsi="宋体" w:cs="黑体"/>
        </w:rPr>
      </w:pPr>
      <w:r>
        <w:rPr>
          <w:rFonts w:hint="eastAsia" w:ascii="宋体" w:hAnsi="宋体" w:cs="黑体"/>
        </w:rPr>
        <w:t>（三）若由于代理销售机构过错导致理财计划资产发生损失，代理销售机构应按其过错承担赔偿责任，代理销售机构赔偿的款项计入理财计划的资产和收益。</w:t>
      </w:r>
    </w:p>
    <w:p>
      <w:pPr>
        <w:widowControl/>
        <w:autoSpaceDE w:val="0"/>
        <w:spacing w:line="360" w:lineRule="auto"/>
        <w:ind w:firstLine="420"/>
        <w:contextualSpacing/>
        <w:rPr>
          <w:rFonts w:ascii="宋体" w:hAnsi="宋体" w:cs="黑体"/>
        </w:rPr>
      </w:pPr>
      <w:r>
        <w:rPr>
          <w:rFonts w:hint="eastAsia" w:ascii="宋体" w:hAnsi="宋体" w:cs="黑体"/>
        </w:rPr>
        <w:t>（四）由于地震、火灾、战争等不可抗力或突发重大卫生公共事件等不可预测事件造成的交易中断、延误等风险及损失，管理人不承担责任；但代理销售机构应在上述情况发生后在条件允许时及时通知投资者并采取一切必要且可能的措施阻止损失扩大。</w:t>
      </w:r>
    </w:p>
    <w:p>
      <w:pPr>
        <w:widowControl/>
        <w:autoSpaceDE w:val="0"/>
        <w:spacing w:line="360" w:lineRule="auto"/>
        <w:ind w:firstLine="420"/>
        <w:contextualSpacing/>
        <w:rPr>
          <w:rFonts w:ascii="宋体" w:hAnsi="宋体" w:cs="黑体"/>
        </w:rPr>
      </w:pPr>
      <w:r>
        <w:rPr>
          <w:rFonts w:hint="eastAsia" w:ascii="宋体" w:hAnsi="宋体" w:cs="黑体"/>
        </w:rPr>
        <w:t>（五）因国家有关法律、法规、规章、政策的修改或新的法律、法规、规章、政策颁布以及紧急措施的出台导致的风险及损失，代理销售机构不承担责任。</w:t>
      </w:r>
    </w:p>
    <w:p>
      <w:pPr>
        <w:widowControl/>
        <w:autoSpaceDE w:val="0"/>
        <w:spacing w:line="360" w:lineRule="auto"/>
        <w:contextualSpacing/>
        <w:rPr>
          <w:rFonts w:ascii="宋体" w:hAnsi="宋体" w:cs="黑体"/>
          <w:b/>
          <w:bCs/>
        </w:rPr>
      </w:pPr>
    </w:p>
    <w:p>
      <w:pPr>
        <w:widowControl/>
        <w:autoSpaceDE w:val="0"/>
        <w:spacing w:line="360" w:lineRule="auto"/>
        <w:ind w:firstLine="420"/>
        <w:rPr>
          <w:rFonts w:ascii="宋体" w:hAnsi="宋体" w:cs="黑体"/>
          <w:b/>
          <w:bCs/>
        </w:rPr>
      </w:pPr>
      <w:r>
        <w:rPr>
          <w:rFonts w:hint="eastAsia" w:ascii="宋体" w:hAnsi="宋体" w:cs="黑体"/>
          <w:b/>
          <w:bCs/>
        </w:rPr>
        <w:t>第六条 适用法律与争议解决</w:t>
      </w:r>
    </w:p>
    <w:p>
      <w:pPr>
        <w:widowControl/>
        <w:autoSpaceDE w:val="0"/>
        <w:spacing w:line="360" w:lineRule="auto"/>
        <w:ind w:firstLine="420" w:firstLineChars="200"/>
        <w:contextualSpacing/>
        <w:rPr>
          <w:rFonts w:ascii="宋体" w:hAnsi="宋体" w:cs="黑体"/>
        </w:rPr>
      </w:pPr>
      <w:r>
        <w:rPr>
          <w:rFonts w:hint="eastAsia" w:ascii="宋体" w:hAnsi="宋体" w:cs="黑体"/>
        </w:rPr>
        <w:t>本协议适用中华人民共和国（仅为明确本合同适用法律规则，不含香港特别行政区、澳门特别行政区及中国台湾地区）的法律和行政法规。本协议项下的及与之有关的一切争议，投资者与代理销售机构双方应首先协商解决，协商不成的，应提交代理销售机构所在地人民法院诉讼解决。诉讼期间，未涉及争议的条款仍需继续履行。</w:t>
      </w:r>
    </w:p>
    <w:p>
      <w:pPr>
        <w:widowControl/>
        <w:autoSpaceDE w:val="0"/>
        <w:spacing w:line="360" w:lineRule="auto"/>
        <w:ind w:firstLine="422" w:firstLineChars="200"/>
        <w:contextualSpacing/>
        <w:rPr>
          <w:rFonts w:ascii="宋体" w:hAnsi="宋体" w:cs="黑体"/>
          <w:b/>
          <w:bCs/>
        </w:rPr>
      </w:pPr>
    </w:p>
    <w:p>
      <w:pPr>
        <w:widowControl/>
        <w:autoSpaceDE w:val="0"/>
        <w:spacing w:line="360" w:lineRule="auto"/>
        <w:ind w:firstLine="420"/>
        <w:rPr>
          <w:rFonts w:ascii="宋体" w:hAnsi="宋体" w:cs="黑体"/>
          <w:b/>
          <w:bCs/>
        </w:rPr>
      </w:pPr>
      <w:r>
        <w:rPr>
          <w:rFonts w:hint="eastAsia" w:ascii="宋体" w:hAnsi="宋体" w:cs="黑体"/>
          <w:b/>
          <w:bCs/>
        </w:rPr>
        <w:t>第七条 协议生效和终止</w:t>
      </w:r>
    </w:p>
    <w:p>
      <w:pPr>
        <w:widowControl/>
        <w:autoSpaceDE w:val="0"/>
        <w:spacing w:line="360" w:lineRule="auto"/>
        <w:ind w:left="420"/>
        <w:contextualSpacing/>
        <w:rPr>
          <w:rFonts w:ascii="宋体" w:hAnsi="宋体" w:cs="黑体"/>
        </w:rPr>
      </w:pPr>
      <w:r>
        <w:rPr>
          <w:rFonts w:hint="eastAsia" w:ascii="宋体" w:hAnsi="宋体" w:cs="黑体"/>
        </w:rPr>
        <w:t xml:space="preserve">（一）投资者和代理销售机构双方认可本协议可以纸质或电子数据等形式提交、订立或确认。 </w:t>
      </w:r>
    </w:p>
    <w:p>
      <w:pPr>
        <w:widowControl/>
        <w:autoSpaceDE w:val="0"/>
        <w:spacing w:line="360" w:lineRule="auto"/>
        <w:ind w:firstLine="420"/>
        <w:contextualSpacing/>
        <w:rPr>
          <w:rFonts w:ascii="宋体" w:hAnsi="宋体" w:cs="黑体"/>
        </w:rPr>
      </w:pPr>
      <w:r>
        <w:rPr>
          <w:rFonts w:hint="eastAsia" w:ascii="宋体" w:hAnsi="宋体" w:cs="黑体"/>
        </w:rPr>
        <w:t xml:space="preserve">（二）本协议书以纸质书面形式订立的，自投资者签字和代理销售机构签章之后立即生效。协议一式叁份，投资者、管理人和代理销售机构各执壹份，具有同等法律效力。 </w:t>
      </w:r>
    </w:p>
    <w:p>
      <w:pPr>
        <w:widowControl/>
        <w:autoSpaceDE w:val="0"/>
        <w:spacing w:line="360" w:lineRule="auto"/>
        <w:ind w:firstLine="420"/>
        <w:contextualSpacing/>
        <w:rPr>
          <w:rFonts w:ascii="宋体" w:hAnsi="宋体" w:cs="黑体"/>
        </w:rPr>
      </w:pPr>
      <w:r>
        <w:rPr>
          <w:rFonts w:hint="eastAsia" w:ascii="宋体" w:hAnsi="宋体" w:cs="黑体"/>
        </w:rPr>
        <w:t>（三）本协议书以数据电文形式订立的，投资者在代理销售机构的电子银行渠道（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autoSpaceDE w:val="0"/>
        <w:spacing w:line="360" w:lineRule="auto"/>
        <w:ind w:firstLine="420"/>
        <w:contextualSpacing/>
        <w:rPr>
          <w:rFonts w:ascii="宋体" w:hAnsi="宋体" w:cs="黑体"/>
        </w:rPr>
      </w:pPr>
      <w:r>
        <w:rPr>
          <w:rFonts w:hint="eastAsia" w:ascii="宋体" w:hAnsi="宋体" w:cs="黑体"/>
        </w:rPr>
        <w:t>（四）投资者和代理销售机构双方在本协议及对应期次的理财计划产品说明书项下权利义务履行完毕之日，本协议自动终止。</w:t>
      </w:r>
    </w:p>
    <w:p>
      <w:pPr>
        <w:widowControl/>
        <w:autoSpaceDE w:val="0"/>
        <w:spacing w:line="360" w:lineRule="auto"/>
        <w:ind w:left="420"/>
        <w:contextualSpacing/>
        <w:rPr>
          <w:rFonts w:ascii="宋体" w:hAnsi="宋体" w:cs="黑体"/>
        </w:rPr>
      </w:pPr>
    </w:p>
    <w:p>
      <w:pPr>
        <w:widowControl/>
        <w:autoSpaceDE w:val="0"/>
        <w:spacing w:line="360" w:lineRule="auto"/>
        <w:ind w:firstLine="420"/>
        <w:rPr>
          <w:rFonts w:ascii="宋体" w:hAnsi="宋体" w:cs="黑体"/>
          <w:b/>
          <w:bCs/>
        </w:rPr>
      </w:pPr>
      <w:r>
        <w:rPr>
          <w:rFonts w:hint="eastAsia" w:ascii="宋体" w:hAnsi="宋体" w:cs="黑体"/>
          <w:b/>
          <w:bCs/>
        </w:rPr>
        <w:t xml:space="preserve">第八条 附则 </w:t>
      </w:r>
    </w:p>
    <w:p>
      <w:pPr>
        <w:widowControl/>
        <w:autoSpaceDE w:val="0"/>
        <w:spacing w:line="360" w:lineRule="auto"/>
        <w:ind w:firstLine="420"/>
        <w:contextualSpacing/>
        <w:rPr>
          <w:rFonts w:ascii="宋体" w:hAnsi="宋体" w:cs="黑体"/>
        </w:rPr>
      </w:pPr>
      <w:r>
        <w:rPr>
          <w:rFonts w:hint="eastAsia" w:ascii="宋体" w:hAnsi="宋体" w:cs="黑体"/>
        </w:rPr>
        <w:t>（一）如果投资者与代理销售机构之间存在多份理财计划销售协议书，则每一协议书分别与其所对应的理财计划产品说明书等销售文本单独构成一个理财计划合同，各个合同之间互相独立，每一合同的效力及履行情况均独立于其他合同。</w:t>
      </w:r>
    </w:p>
    <w:p>
      <w:pPr>
        <w:widowControl/>
        <w:autoSpaceDE w:val="0"/>
        <w:spacing w:line="360" w:lineRule="auto"/>
        <w:ind w:firstLine="420"/>
        <w:contextualSpacing/>
        <w:rPr>
          <w:rFonts w:ascii="宋体" w:hAnsi="宋体" w:cs="黑体"/>
        </w:rPr>
      </w:pPr>
      <w:r>
        <w:rPr>
          <w:rFonts w:hint="eastAsia" w:ascii="宋体" w:hAnsi="宋体" w:cs="黑体"/>
        </w:rPr>
        <w:t>（二）如果由于任何原因使本合同下的任何条款或内容成为无效或被依法撤销，本合同其他条款或内容的合法性、有效性和可执行性不受影响。</w:t>
      </w:r>
    </w:p>
    <w:p>
      <w:pPr>
        <w:widowControl/>
        <w:autoSpaceDE w:val="0"/>
        <w:spacing w:line="360" w:lineRule="auto"/>
        <w:ind w:firstLine="420"/>
        <w:contextualSpacing/>
        <w:rPr>
          <w:rFonts w:ascii="宋体" w:hAnsi="宋体" w:cs="黑体"/>
        </w:rPr>
      </w:pPr>
      <w:r>
        <w:rPr>
          <w:rFonts w:hint="eastAsia" w:ascii="宋体" w:hAnsi="宋体" w:cs="黑体"/>
        </w:rPr>
        <w:t>（三）在理财计划存续期内，如因监管政策或法律法规发生变化，在不损害投资者利益的前提下，管理人有权单方对理财计划合同销售文件进行修订。</w:t>
      </w:r>
    </w:p>
    <w:p>
      <w:pPr>
        <w:widowControl/>
        <w:autoSpaceDE w:val="0"/>
        <w:spacing w:line="360" w:lineRule="auto"/>
        <w:contextualSpacing/>
        <w:rPr>
          <w:rFonts w:ascii="宋体" w:hAnsi="宋体" w:cs="黑体"/>
        </w:rPr>
      </w:pPr>
    </w:p>
    <w:p>
      <w:pPr>
        <w:autoSpaceDE w:val="0"/>
        <w:spacing w:line="360" w:lineRule="auto"/>
        <w:rPr>
          <w:rFonts w:ascii="宋体" w:hAnsi="宋体"/>
        </w:rPr>
      </w:pPr>
    </w:p>
    <w:p>
      <w:pPr>
        <w:autoSpaceDE w:val="0"/>
        <w:spacing w:line="360" w:lineRule="auto"/>
        <w:rPr>
          <w:rFonts w:ascii="宋体" w:hAnsi="宋体"/>
        </w:rPr>
      </w:pPr>
    </w:p>
    <w:p>
      <w:pPr>
        <w:widowControl/>
        <w:spacing w:line="360" w:lineRule="auto"/>
        <w:jc w:val="right"/>
        <w:rPr>
          <w:rFonts w:ascii="宋体" w:hAnsi="宋体"/>
          <w:color w:val="000000"/>
          <w:kern w:val="0"/>
        </w:rPr>
      </w:pPr>
      <w:r>
        <w:rPr>
          <w:rFonts w:hint="eastAsia" w:ascii="宋体" w:hAnsi="宋体"/>
          <w:kern w:val="0"/>
        </w:rPr>
        <w:t>杭银理财有限责任公司</w:t>
      </w:r>
    </w:p>
    <w:p>
      <w:pPr>
        <w:spacing w:line="360" w:lineRule="auto"/>
        <w:rPr>
          <w:rFonts w:ascii="宋体" w:hAnsi="宋体" w:cs="黑体"/>
        </w:rPr>
      </w:pPr>
      <w:r>
        <w:rPr>
          <w:rFonts w:hint="eastAsia" w:ascii="宋体" w:hAnsi="宋体"/>
          <w:color w:val="000000"/>
          <w:kern w:val="0"/>
          <w:szCs w:val="21"/>
        </w:rPr>
        <w:br w:type="page"/>
      </w:r>
      <w:r>
        <w:rPr>
          <w:rFonts w:hint="eastAsia" w:ascii="宋体" w:hAnsi="宋体" w:cs="黑体"/>
          <w:szCs w:val="21"/>
        </w:rPr>
        <w:t>本页为纸质形式（如有）销售协议书签章页</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rPr>
          <w:rFonts w:ascii="宋体" w:hAnsi="宋体" w:cs="黑体"/>
          <w:b/>
          <w:bCs/>
        </w:rPr>
      </w:pPr>
      <w:r>
        <w:rPr>
          <w:rFonts w:hint="eastAsia" w:ascii="宋体" w:hAnsi="宋体" w:cs="黑体"/>
          <w:b/>
          <w:bCs/>
          <w:szCs w:val="21"/>
        </w:rPr>
        <w:t>投资者（签字）：</w:t>
      </w:r>
    </w:p>
    <w:p>
      <w:pPr>
        <w:spacing w:before="156" w:beforeLines="50" w:after="156" w:afterLines="50" w:line="360" w:lineRule="auto"/>
        <w:ind w:firstLine="4200" w:firstLineChars="2000"/>
        <w:jc w:val="right"/>
        <w:rPr>
          <w:rFonts w:ascii="Arial" w:hAnsi="Arial"/>
        </w:rPr>
      </w:pPr>
      <w:r>
        <w:rPr>
          <w:rFonts w:hint="eastAsia" w:ascii="Arial" w:hAnsi="Arial"/>
          <w:szCs w:val="21"/>
        </w:rPr>
        <w:t xml:space="preserve">   年   月   日</w:t>
      </w:r>
    </w:p>
    <w:p>
      <w:pPr>
        <w:spacing w:line="360" w:lineRule="auto"/>
        <w:rPr>
          <w:rFonts w:ascii="宋体" w:hAnsi="宋体" w:cs="黑体"/>
          <w:b/>
          <w:bCs/>
        </w:rPr>
      </w:pPr>
    </w:p>
    <w:p>
      <w:pPr>
        <w:spacing w:line="360" w:lineRule="auto"/>
        <w:rPr>
          <w:rFonts w:ascii="宋体" w:hAnsi="宋体" w:cs="黑体"/>
          <w:b/>
          <w:bCs/>
        </w:rPr>
      </w:pPr>
    </w:p>
    <w:p>
      <w:pPr>
        <w:spacing w:line="360" w:lineRule="auto"/>
        <w:rPr>
          <w:rFonts w:ascii="宋体" w:hAnsi="宋体" w:cs="黑体"/>
          <w:b/>
          <w:bCs/>
        </w:rPr>
      </w:pPr>
    </w:p>
    <w:p>
      <w:pPr>
        <w:spacing w:line="360" w:lineRule="auto"/>
        <w:rPr>
          <w:rFonts w:ascii="宋体" w:hAnsi="宋体" w:cs="黑体"/>
          <w:b/>
          <w:bCs/>
        </w:rPr>
      </w:pPr>
    </w:p>
    <w:p>
      <w:pPr>
        <w:spacing w:line="360" w:lineRule="auto"/>
        <w:rPr>
          <w:rFonts w:ascii="宋体" w:hAnsi="宋体" w:cs="黑体"/>
          <w:b/>
          <w:bCs/>
        </w:rPr>
      </w:pPr>
      <w:r>
        <w:rPr>
          <w:rFonts w:hint="eastAsia" w:ascii="宋体" w:hAnsi="宋体" w:cs="黑体"/>
          <w:b/>
          <w:bCs/>
          <w:szCs w:val="21"/>
        </w:rPr>
        <w:t>代理销售机构签章：</w:t>
      </w:r>
    </w:p>
    <w:p>
      <w:pPr>
        <w:spacing w:line="360" w:lineRule="auto"/>
        <w:rPr>
          <w:rFonts w:ascii="宋体" w:hAnsi="宋体" w:cs="黑体"/>
          <w:b/>
          <w:bCs/>
        </w:rPr>
      </w:pPr>
    </w:p>
    <w:p>
      <w:pPr>
        <w:spacing w:line="360" w:lineRule="auto"/>
        <w:rPr>
          <w:rFonts w:ascii="宋体" w:hAnsi="宋体" w:cs="黑体"/>
          <w:b/>
          <w:bCs/>
        </w:rPr>
      </w:pPr>
    </w:p>
    <w:p>
      <w:pPr>
        <w:spacing w:before="156" w:beforeLines="50" w:after="156" w:afterLines="50" w:line="360" w:lineRule="auto"/>
        <w:ind w:firstLine="4200" w:firstLineChars="2000"/>
        <w:jc w:val="right"/>
        <w:rPr>
          <w:rFonts w:ascii="Arial" w:hAnsi="Arial"/>
        </w:rPr>
      </w:pPr>
      <w:r>
        <w:rPr>
          <w:rFonts w:hint="eastAsia" w:ascii="Arial" w:hAnsi="Arial"/>
          <w:szCs w:val="21"/>
        </w:rPr>
        <w:t xml:space="preserve">   年   月   日</w:t>
      </w:r>
    </w:p>
    <w:p>
      <w:pPr>
        <w:spacing w:line="360" w:lineRule="auto"/>
        <w:rPr>
          <w:rFonts w:ascii="宋体" w:hAnsi="宋体" w:cs="黑体"/>
          <w:b/>
          <w:bCs/>
          <w:sz w:val="28"/>
          <w:szCs w:val="28"/>
        </w:rPr>
      </w:pPr>
    </w:p>
    <w:p>
      <w:pPr>
        <w:widowControl/>
        <w:spacing w:line="360" w:lineRule="auto"/>
        <w:jc w:val="left"/>
        <w:rPr>
          <w:rFonts w:ascii="宋体" w:hAnsi="宋体"/>
          <w:color w:val="000000"/>
          <w:kern w:val="0"/>
          <w:sz w:val="21"/>
          <w:szCs w:val="21"/>
        </w:rPr>
      </w:pPr>
    </w:p>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widowControl/>
        <w:spacing w:line="360" w:lineRule="auto"/>
        <w:jc w:val="left"/>
        <w:rPr>
          <w:rFonts w:hint="eastAsia" w:ascii="宋体" w:hAnsi="Wingdings"/>
          <w:color w:val="000000"/>
          <w:kern w:val="0"/>
          <w:sz w:val="21"/>
          <w:szCs w:val="21"/>
        </w:rPr>
      </w:pPr>
    </w:p>
    <w:p>
      <w:pPr>
        <w:rPr>
          <w:rFonts w:hint="eastAsia"/>
        </w:rPr>
      </w:pPr>
      <w:r>
        <w:t xml:space="preserve"> </w:t>
      </w:r>
    </w:p>
    <w:p>
      <w:pPr>
        <w:spacing w:line="520" w:lineRule="exact"/>
        <w:ind w:firstLine="424" w:firstLineChars="202"/>
        <w:rPr>
          <w:rFonts w:hint="eastAsia" w:ascii="宋体" w:hAnsi="Wingdings" w:cs="宋体"/>
          <w:color w:val="000000"/>
          <w:kern w:val="0"/>
        </w:rPr>
      </w:pPr>
    </w:p>
    <w:p>
      <w:pPr>
        <w:spacing w:line="300" w:lineRule="auto"/>
        <w:rPr>
          <w:rFonts w:hint="eastAsia" w:ascii="宋体" w:hAnsi="Wingdings" w:cs="宋体"/>
          <w:color w:val="000000"/>
          <w:kern w:val="0"/>
        </w:rPr>
      </w:pPr>
    </w:p>
    <w:p/>
    <w:sectPr>
      <w:footerReference r:id="rId3" w:type="default"/>
      <w:pgSz w:w="11906" w:h="16838"/>
      <w:pgMar w:top="1440" w:right="1134" w:bottom="1440"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6</w:t>
    </w:r>
    <w:r>
      <w:fldChar w:fldCharType="end"/>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603E8E"/>
    <w:multiLevelType w:val="singleLevel"/>
    <w:tmpl w:val="02603E8E"/>
    <w:lvl w:ilvl="0" w:tentative="0">
      <w:start w:val="1"/>
      <w:numFmt w:val="decimal"/>
      <w:suff w:val="nothing"/>
      <w:lvlText w:val="%1．"/>
      <w:lvlJc w:val="left"/>
      <w:pPr>
        <w:ind w:left="0" w:firstLine="400"/>
      </w:pPr>
      <w:rPr>
        <w:rFonts w:hint="default"/>
      </w:rPr>
    </w:lvl>
  </w:abstractNum>
  <w:abstractNum w:abstractNumId="1">
    <w:nsid w:val="09966FD6"/>
    <w:multiLevelType w:val="multilevel"/>
    <w:tmpl w:val="09966FD6"/>
    <w:lvl w:ilvl="0" w:tentative="0">
      <w:start w:val="1"/>
      <w:numFmt w:val="chineseCounting"/>
      <w:suff w:val="nothing"/>
      <w:lvlText w:val="（%1）"/>
      <w:lvlJc w:val="left"/>
      <w:pPr>
        <w:ind w:left="0" w:firstLine="42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0AB15DED"/>
    <w:multiLevelType w:val="singleLevel"/>
    <w:tmpl w:val="0AB15DED"/>
    <w:lvl w:ilvl="0" w:tentative="0">
      <w:start w:val="1"/>
      <w:numFmt w:val="decimal"/>
      <w:suff w:val="nothing"/>
      <w:lvlText w:val="%1．"/>
      <w:lvlJc w:val="left"/>
      <w:pPr>
        <w:ind w:left="0" w:firstLine="400"/>
      </w:pPr>
      <w:rPr>
        <w:rFonts w:hint="default"/>
      </w:rPr>
    </w:lvl>
  </w:abstractNum>
  <w:abstractNum w:abstractNumId="3">
    <w:nsid w:val="0DA0B988"/>
    <w:multiLevelType w:val="singleLevel"/>
    <w:tmpl w:val="0DA0B988"/>
    <w:lvl w:ilvl="0" w:tentative="0">
      <w:start w:val="3"/>
      <w:numFmt w:val="chineseCounting"/>
      <w:suff w:val="nothing"/>
      <w:lvlText w:val="（%1）"/>
      <w:lvlJc w:val="left"/>
      <w:pPr>
        <w:tabs>
          <w:tab w:val="left" w:pos="0"/>
        </w:tabs>
      </w:pPr>
      <w:rPr>
        <w:rFonts w:hint="eastAsia"/>
      </w:rPr>
    </w:lvl>
  </w:abstractNum>
  <w:abstractNum w:abstractNumId="4">
    <w:nsid w:val="1BCD3219"/>
    <w:multiLevelType w:val="multilevel"/>
    <w:tmpl w:val="1BCD3219"/>
    <w:lvl w:ilvl="0" w:tentative="0">
      <w:start w:val="1"/>
      <w:numFmt w:val="chineseCountingThousand"/>
      <w:suff w:val="nothing"/>
      <w:lvlText w:val="(%1)"/>
      <w:lvlJc w:val="left"/>
      <w:pPr>
        <w:ind w:left="420" w:hanging="420"/>
      </w:pPr>
      <w:rPr>
        <w:rFonts w:hint="eastAsia"/>
        <w:b w:val="0"/>
        <w:bCs w:val="0"/>
      </w:rPr>
    </w:lvl>
    <w:lvl w:ilvl="1" w:tentative="0">
      <w:start w:val="1"/>
      <w:numFmt w:val="lowerLetter"/>
      <w:lvlText w:val="%2)"/>
      <w:lvlJc w:val="left"/>
      <w:pPr>
        <w:ind w:left="1970" w:hanging="420"/>
      </w:pPr>
    </w:lvl>
    <w:lvl w:ilvl="2" w:tentative="0">
      <w:start w:val="1"/>
      <w:numFmt w:val="lowerRoman"/>
      <w:lvlText w:val="%3."/>
      <w:lvlJc w:val="right"/>
      <w:pPr>
        <w:ind w:left="2390" w:hanging="420"/>
      </w:pPr>
    </w:lvl>
    <w:lvl w:ilvl="3" w:tentative="0">
      <w:start w:val="1"/>
      <w:numFmt w:val="decimal"/>
      <w:lvlText w:val="%4."/>
      <w:lvlJc w:val="left"/>
      <w:pPr>
        <w:ind w:left="2810" w:hanging="420"/>
      </w:pPr>
    </w:lvl>
    <w:lvl w:ilvl="4" w:tentative="0">
      <w:start w:val="1"/>
      <w:numFmt w:val="lowerLetter"/>
      <w:lvlText w:val="%5)"/>
      <w:lvlJc w:val="left"/>
      <w:pPr>
        <w:ind w:left="3230" w:hanging="420"/>
      </w:pPr>
    </w:lvl>
    <w:lvl w:ilvl="5" w:tentative="0">
      <w:start w:val="1"/>
      <w:numFmt w:val="lowerRoman"/>
      <w:lvlText w:val="%6."/>
      <w:lvlJc w:val="right"/>
      <w:pPr>
        <w:ind w:left="3650" w:hanging="420"/>
      </w:pPr>
    </w:lvl>
    <w:lvl w:ilvl="6" w:tentative="0">
      <w:start w:val="1"/>
      <w:numFmt w:val="decimal"/>
      <w:lvlText w:val="%7."/>
      <w:lvlJc w:val="left"/>
      <w:pPr>
        <w:ind w:left="4070" w:hanging="420"/>
      </w:pPr>
    </w:lvl>
    <w:lvl w:ilvl="7" w:tentative="0">
      <w:start w:val="1"/>
      <w:numFmt w:val="lowerLetter"/>
      <w:lvlText w:val="%8)"/>
      <w:lvlJc w:val="left"/>
      <w:pPr>
        <w:ind w:left="4490" w:hanging="420"/>
      </w:pPr>
    </w:lvl>
    <w:lvl w:ilvl="8" w:tentative="0">
      <w:start w:val="1"/>
      <w:numFmt w:val="lowerRoman"/>
      <w:lvlText w:val="%9."/>
      <w:lvlJc w:val="right"/>
      <w:pPr>
        <w:ind w:left="4910" w:hanging="420"/>
      </w:pPr>
    </w:lvl>
  </w:abstractNum>
  <w:abstractNum w:abstractNumId="5">
    <w:nsid w:val="23A93630"/>
    <w:multiLevelType w:val="multilevel"/>
    <w:tmpl w:val="23A93630"/>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40D15568"/>
    <w:multiLevelType w:val="multilevel"/>
    <w:tmpl w:val="40D15568"/>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5404F3FF"/>
    <w:multiLevelType w:val="singleLevel"/>
    <w:tmpl w:val="5404F3FF"/>
    <w:lvl w:ilvl="0" w:tentative="0">
      <w:start w:val="1"/>
      <w:numFmt w:val="chineseCounting"/>
      <w:suff w:val="nothing"/>
      <w:lvlText w:val="（%1）"/>
      <w:lvlJc w:val="left"/>
      <w:rPr>
        <w:rFonts w:hint="eastAsia"/>
      </w:rPr>
    </w:lvl>
  </w:abstractNum>
  <w:abstractNum w:abstractNumId="8">
    <w:nsid w:val="59D74ADA"/>
    <w:multiLevelType w:val="singleLevel"/>
    <w:tmpl w:val="59D74ADA"/>
    <w:lvl w:ilvl="0" w:tentative="0">
      <w:start w:val="1"/>
      <w:numFmt w:val="decimal"/>
      <w:suff w:val="nothing"/>
      <w:lvlText w:val="%1．"/>
      <w:lvlJc w:val="left"/>
      <w:pPr>
        <w:ind w:left="0" w:firstLine="400"/>
      </w:pPr>
      <w:rPr>
        <w:rFonts w:hint="default"/>
      </w:rPr>
    </w:lvl>
  </w:abstractNum>
  <w:abstractNum w:abstractNumId="9">
    <w:nsid w:val="5C822679"/>
    <w:multiLevelType w:val="singleLevel"/>
    <w:tmpl w:val="5C822679"/>
    <w:lvl w:ilvl="0" w:tentative="0">
      <w:start w:val="1"/>
      <w:numFmt w:val="chineseCounting"/>
      <w:suff w:val="nothing"/>
      <w:lvlText w:val="（%1）"/>
      <w:lvlJc w:val="left"/>
      <w:pPr>
        <w:ind w:left="0" w:firstLine="420"/>
      </w:pPr>
      <w:rPr>
        <w:rFonts w:hint="eastAsia"/>
      </w:rPr>
    </w:lvl>
  </w:abstractNum>
  <w:abstractNum w:abstractNumId="10">
    <w:nsid w:val="5C822695"/>
    <w:multiLevelType w:val="singleLevel"/>
    <w:tmpl w:val="5C822695"/>
    <w:lvl w:ilvl="0" w:tentative="0">
      <w:start w:val="2"/>
      <w:numFmt w:val="chineseCounting"/>
      <w:suff w:val="nothing"/>
      <w:lvlText w:val="（%1）"/>
      <w:lvlJc w:val="left"/>
      <w:pPr>
        <w:ind w:left="0" w:firstLine="420"/>
      </w:pPr>
      <w:rPr>
        <w:rFonts w:hint="eastAsia"/>
      </w:rPr>
    </w:lvl>
  </w:abstractNum>
  <w:abstractNum w:abstractNumId="11">
    <w:nsid w:val="5C8226ED"/>
    <w:multiLevelType w:val="singleLevel"/>
    <w:tmpl w:val="5C8226ED"/>
    <w:lvl w:ilvl="0" w:tentative="0">
      <w:start w:val="1"/>
      <w:numFmt w:val="decimal"/>
      <w:suff w:val="nothing"/>
      <w:lvlText w:val="%1．"/>
      <w:lvlJc w:val="left"/>
      <w:pPr>
        <w:ind w:left="0" w:firstLine="400"/>
      </w:pPr>
      <w:rPr>
        <w:rFonts w:hint="default"/>
      </w:rPr>
    </w:lvl>
  </w:abstractNum>
  <w:abstractNum w:abstractNumId="12">
    <w:nsid w:val="5C82273C"/>
    <w:multiLevelType w:val="singleLevel"/>
    <w:tmpl w:val="5C82273C"/>
    <w:lvl w:ilvl="0" w:tentative="0">
      <w:start w:val="1"/>
      <w:numFmt w:val="chineseCounting"/>
      <w:suff w:val="nothing"/>
      <w:lvlText w:val="（%1）"/>
      <w:lvlJc w:val="left"/>
      <w:pPr>
        <w:ind w:left="0" w:firstLine="420"/>
      </w:pPr>
      <w:rPr>
        <w:rFonts w:hint="eastAsia"/>
      </w:rPr>
    </w:lvl>
  </w:abstractNum>
  <w:abstractNum w:abstractNumId="13">
    <w:nsid w:val="5C8227DC"/>
    <w:multiLevelType w:val="singleLevel"/>
    <w:tmpl w:val="5C8227DC"/>
    <w:lvl w:ilvl="0" w:tentative="0">
      <w:start w:val="6"/>
      <w:numFmt w:val="chineseCounting"/>
      <w:suff w:val="nothing"/>
      <w:lvlText w:val="（%1）"/>
      <w:lvlJc w:val="left"/>
      <w:pPr>
        <w:ind w:left="0" w:firstLine="420"/>
      </w:pPr>
      <w:rPr>
        <w:rFonts w:hint="eastAsia"/>
      </w:rPr>
    </w:lvl>
  </w:abstractNum>
  <w:abstractNum w:abstractNumId="14">
    <w:nsid w:val="5C8227EC"/>
    <w:multiLevelType w:val="singleLevel"/>
    <w:tmpl w:val="5C8227EC"/>
    <w:lvl w:ilvl="0" w:tentative="0">
      <w:start w:val="5"/>
      <w:numFmt w:val="chineseCounting"/>
      <w:suff w:val="nothing"/>
      <w:lvlText w:val="（%1）"/>
      <w:lvlJc w:val="left"/>
      <w:pPr>
        <w:ind w:left="0" w:firstLine="420"/>
      </w:pPr>
      <w:rPr>
        <w:rFonts w:hint="eastAsia"/>
      </w:rPr>
    </w:lvl>
  </w:abstractNum>
  <w:abstractNum w:abstractNumId="15">
    <w:nsid w:val="5C822838"/>
    <w:multiLevelType w:val="singleLevel"/>
    <w:tmpl w:val="5C822838"/>
    <w:lvl w:ilvl="0" w:tentative="0">
      <w:start w:val="1"/>
      <w:numFmt w:val="chineseCounting"/>
      <w:suff w:val="nothing"/>
      <w:lvlText w:val="（%1）"/>
      <w:lvlJc w:val="left"/>
      <w:pPr>
        <w:ind w:left="0" w:firstLine="420"/>
      </w:pPr>
      <w:rPr>
        <w:rFonts w:hint="eastAsia"/>
      </w:rPr>
    </w:lvl>
  </w:abstractNum>
  <w:abstractNum w:abstractNumId="16">
    <w:nsid w:val="5C82284E"/>
    <w:multiLevelType w:val="singleLevel"/>
    <w:tmpl w:val="5C82284E"/>
    <w:lvl w:ilvl="0" w:tentative="0">
      <w:start w:val="1"/>
      <w:numFmt w:val="decimal"/>
      <w:suff w:val="nothing"/>
      <w:lvlText w:val="（%1）"/>
      <w:lvlJc w:val="left"/>
    </w:lvl>
  </w:abstractNum>
  <w:abstractNum w:abstractNumId="17">
    <w:nsid w:val="5C822869"/>
    <w:multiLevelType w:val="singleLevel"/>
    <w:tmpl w:val="5C822869"/>
    <w:lvl w:ilvl="0" w:tentative="0">
      <w:start w:val="1"/>
      <w:numFmt w:val="decimal"/>
      <w:suff w:val="nothing"/>
      <w:lvlText w:val="%1．"/>
      <w:lvlJc w:val="left"/>
      <w:pPr>
        <w:ind w:left="0" w:firstLine="400"/>
      </w:pPr>
      <w:rPr>
        <w:rFonts w:hint="default"/>
      </w:rPr>
    </w:lvl>
  </w:abstractNum>
  <w:abstractNum w:abstractNumId="18">
    <w:nsid w:val="5C8228EA"/>
    <w:multiLevelType w:val="singleLevel"/>
    <w:tmpl w:val="5C8228EA"/>
    <w:lvl w:ilvl="0" w:tentative="0">
      <w:start w:val="1"/>
      <w:numFmt w:val="chineseCounting"/>
      <w:suff w:val="nothing"/>
      <w:lvlText w:val="（%1）"/>
      <w:lvlJc w:val="left"/>
      <w:pPr>
        <w:ind w:left="0" w:firstLine="420"/>
      </w:pPr>
      <w:rPr>
        <w:rFonts w:hint="eastAsia"/>
      </w:rPr>
    </w:lvl>
  </w:abstractNum>
  <w:abstractNum w:abstractNumId="19">
    <w:nsid w:val="5C822980"/>
    <w:multiLevelType w:val="singleLevel"/>
    <w:tmpl w:val="5C822980"/>
    <w:lvl w:ilvl="0" w:tentative="0">
      <w:start w:val="1"/>
      <w:numFmt w:val="decimal"/>
      <w:suff w:val="nothing"/>
      <w:lvlText w:val="%1．"/>
      <w:lvlJc w:val="left"/>
      <w:pPr>
        <w:ind w:left="0" w:firstLine="400"/>
      </w:pPr>
      <w:rPr>
        <w:rFonts w:hint="default"/>
      </w:rPr>
    </w:lvl>
  </w:abstractNum>
  <w:abstractNum w:abstractNumId="20">
    <w:nsid w:val="5CA1C15F"/>
    <w:multiLevelType w:val="singleLevel"/>
    <w:tmpl w:val="5CA1C15F"/>
    <w:lvl w:ilvl="0" w:tentative="0">
      <w:start w:val="1"/>
      <w:numFmt w:val="decimal"/>
      <w:suff w:val="nothing"/>
      <w:lvlText w:val="%1．"/>
      <w:lvlJc w:val="left"/>
      <w:pPr>
        <w:ind w:left="0" w:firstLine="400"/>
      </w:pPr>
      <w:rPr>
        <w:rFonts w:hint="default"/>
      </w:rPr>
    </w:lvl>
  </w:abstractNum>
  <w:abstractNum w:abstractNumId="21">
    <w:nsid w:val="75D52EE0"/>
    <w:multiLevelType w:val="multilevel"/>
    <w:tmpl w:val="75D52EE0"/>
    <w:lvl w:ilvl="0" w:tentative="0">
      <w:start w:val="1"/>
      <w:numFmt w:val="chineseCountingThousand"/>
      <w:lvlText w:val="（%1）"/>
      <w:lvlJc w:val="left"/>
      <w:pPr>
        <w:tabs>
          <w:tab w:val="left" w:pos="0"/>
        </w:tabs>
      </w:pPr>
      <w:rPr>
        <w:rFonts w:hint="default" w:ascii="Times New Roman" w:hAnsi="Times New Roman" w:eastAsia="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2">
    <w:nsid w:val="76DD5BC5"/>
    <w:multiLevelType w:val="singleLevel"/>
    <w:tmpl w:val="76DD5BC5"/>
    <w:lvl w:ilvl="0" w:tentative="0">
      <w:start w:val="1"/>
      <w:numFmt w:val="decimal"/>
      <w:suff w:val="nothing"/>
      <w:lvlText w:val="%1．"/>
      <w:lvlJc w:val="left"/>
      <w:pPr>
        <w:ind w:left="0" w:firstLine="400"/>
      </w:pPr>
      <w:rPr>
        <w:rFonts w:hint="default"/>
      </w:rPr>
    </w:lvl>
  </w:abstractNum>
  <w:num w:numId="1">
    <w:abstractNumId w:val="4"/>
  </w:num>
  <w:num w:numId="2">
    <w:abstractNumId w:val="6"/>
  </w:num>
  <w:num w:numId="3">
    <w:abstractNumId w:val="21"/>
  </w:num>
  <w:num w:numId="4">
    <w:abstractNumId w:val="9"/>
  </w:num>
  <w:num w:numId="5">
    <w:abstractNumId w:val="11"/>
  </w:num>
  <w:num w:numId="6">
    <w:abstractNumId w:val="10"/>
  </w:num>
  <w:num w:numId="7">
    <w:abstractNumId w:val="3"/>
  </w:num>
  <w:num w:numId="8">
    <w:abstractNumId w:val="12"/>
  </w:num>
  <w:num w:numId="9">
    <w:abstractNumId w:val="20"/>
  </w:num>
  <w:num w:numId="10">
    <w:abstractNumId w:val="16"/>
  </w:num>
  <w:num w:numId="11">
    <w:abstractNumId w:val="14"/>
  </w:num>
  <w:num w:numId="12">
    <w:abstractNumId w:val="13"/>
  </w:num>
  <w:num w:numId="13">
    <w:abstractNumId w:val="15"/>
  </w:num>
  <w:num w:numId="14">
    <w:abstractNumId w:val="17"/>
  </w:num>
  <w:num w:numId="15">
    <w:abstractNumId w:val="18"/>
  </w:num>
  <w:num w:numId="16">
    <w:abstractNumId w:val="19"/>
  </w:num>
  <w:num w:numId="17">
    <w:abstractNumId w:val="8"/>
  </w:num>
  <w:num w:numId="18">
    <w:abstractNumId w:val="2"/>
  </w:num>
  <w:num w:numId="19">
    <w:abstractNumId w:val="0"/>
  </w:num>
  <w:num w:numId="20">
    <w:abstractNumId w:val="22"/>
  </w:num>
  <w:num w:numId="21">
    <w:abstractNumId w:val="7"/>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mFlOWJlNDE0ZTViNzAyNDYwODc3ZWNkMWE0NDA0NDIifQ=="/>
  </w:docVars>
  <w:rsids>
    <w:rsidRoot w:val="00000000"/>
    <w:rsid w:val="4A0E605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Balloon Text"/>
    <w:basedOn w:val="1"/>
    <w:link w:val="14"/>
    <w:unhideWhenUsed/>
    <w:qFormat/>
    <w:uiPriority w:val="99"/>
    <w:rPr>
      <w:sz w:val="18"/>
      <w:szCs w:val="18"/>
    </w:rPr>
  </w:style>
  <w:style w:type="paragraph" w:styleId="4">
    <w:name w:val="footer"/>
    <w:basedOn w:val="1"/>
    <w:link w:val="15"/>
    <w:unhideWhenUsed/>
    <w:qFormat/>
    <w:uiPriority w:val="99"/>
    <w:pPr>
      <w:tabs>
        <w:tab w:val="center" w:pos="4153"/>
        <w:tab w:val="right" w:pos="8306"/>
      </w:tabs>
      <w:snapToGrid w:val="0"/>
      <w:jc w:val="left"/>
    </w:pPr>
    <w:rPr>
      <w:kern w:val="0"/>
      <w:sz w:val="18"/>
      <w:szCs w:val="18"/>
    </w:rPr>
  </w:style>
  <w:style w:type="paragraph" w:styleId="5">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Subtitle"/>
    <w:basedOn w:val="1"/>
    <w:next w:val="1"/>
    <w:link w:val="11"/>
    <w:qFormat/>
    <w:uiPriority w:val="11"/>
    <w:pPr>
      <w:spacing w:before="240" w:after="60" w:line="312" w:lineRule="auto"/>
      <w:jc w:val="center"/>
      <w:outlineLvl w:val="1"/>
    </w:pPr>
    <w:rPr>
      <w:rFonts w:ascii="Cambria" w:hAnsi="Cambria"/>
      <w:b/>
      <w:bCs/>
      <w:kern w:val="28"/>
      <w:sz w:val="32"/>
      <w:szCs w:val="32"/>
    </w:rPr>
  </w:style>
  <w:style w:type="paragraph" w:styleId="7">
    <w:name w:val="Normal (Web)"/>
    <w:basedOn w:val="1"/>
    <w:unhideWhenUsed/>
    <w:qFormat/>
    <w:uiPriority w:val="99"/>
    <w:rPr>
      <w:sz w:val="24"/>
      <w:szCs w:val="20"/>
    </w:rPr>
  </w:style>
  <w:style w:type="character" w:styleId="10">
    <w:name w:val="Hyperlink"/>
    <w:unhideWhenUsed/>
    <w:qFormat/>
    <w:uiPriority w:val="99"/>
    <w:rPr>
      <w:color w:val="0000FF"/>
      <w:u w:val="single"/>
    </w:rPr>
  </w:style>
  <w:style w:type="character" w:customStyle="1" w:styleId="11">
    <w:name w:val="副标题 Char1"/>
    <w:basedOn w:val="9"/>
    <w:link w:val="6"/>
    <w:qFormat/>
    <w:uiPriority w:val="11"/>
    <w:rPr>
      <w:rFonts w:ascii="Cambria" w:hAnsi="Cambria" w:eastAsia="宋体" w:cs="Times New Roman"/>
      <w:b/>
      <w:bCs/>
      <w:kern w:val="28"/>
      <w:sz w:val="32"/>
      <w:szCs w:val="32"/>
    </w:rPr>
  </w:style>
  <w:style w:type="character" w:customStyle="1" w:styleId="12">
    <w:name w:val="页脚 Char"/>
    <w:qFormat/>
    <w:uiPriority w:val="99"/>
    <w:rPr>
      <w:rFonts w:ascii="Times New Roman" w:hAnsi="Times New Roman"/>
      <w:sz w:val="18"/>
      <w:szCs w:val="18"/>
    </w:rPr>
  </w:style>
  <w:style w:type="character" w:customStyle="1" w:styleId="13">
    <w:name w:val="副标题 Char"/>
    <w:qFormat/>
    <w:uiPriority w:val="11"/>
    <w:rPr>
      <w:rFonts w:ascii="Cambria" w:hAnsi="Cambria" w:cs="Cambria"/>
      <w:b/>
      <w:bCs/>
      <w:kern w:val="28"/>
      <w:sz w:val="32"/>
      <w:szCs w:val="32"/>
    </w:rPr>
  </w:style>
  <w:style w:type="character" w:customStyle="1" w:styleId="14">
    <w:name w:val="批注框文本 Char"/>
    <w:basedOn w:val="9"/>
    <w:link w:val="3"/>
    <w:semiHidden/>
    <w:qFormat/>
    <w:uiPriority w:val="99"/>
    <w:rPr>
      <w:kern w:val="2"/>
      <w:sz w:val="18"/>
      <w:szCs w:val="18"/>
    </w:rPr>
  </w:style>
  <w:style w:type="character" w:customStyle="1" w:styleId="15">
    <w:name w:val="页脚 Char1"/>
    <w:basedOn w:val="9"/>
    <w:link w:val="4"/>
    <w:semiHidden/>
    <w:qFormat/>
    <w:uiPriority w:val="99"/>
    <w:rPr>
      <w:rFonts w:ascii="Times New Roman" w:hAnsi="Times New Roman" w:eastAsia="宋体" w:cs="Times New Roman"/>
      <w:sz w:val="18"/>
      <w:szCs w:val="18"/>
    </w:rPr>
  </w:style>
  <w:style w:type="character" w:customStyle="1" w:styleId="16">
    <w:name w:val="页眉 Char"/>
    <w:basedOn w:val="9"/>
    <w:link w:val="5"/>
    <w:semiHidden/>
    <w:qFormat/>
    <w:uiPriority w:val="99"/>
    <w:rPr>
      <w:rFonts w:ascii="Times New Roman" w:hAnsi="Times New Roman" w:eastAsia="宋体" w:cs="Times New Roman"/>
      <w:sz w:val="18"/>
      <w:szCs w:val="18"/>
    </w:r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8">
    <w:name w:val="List Paragraph2"/>
    <w:basedOn w:val="1"/>
    <w:unhideWhenUsed/>
    <w:qFormat/>
    <w:uiPriority w:val="0"/>
    <w:pPr>
      <w:ind w:firstLine="420" w:firstLineChars="200"/>
    </w:pPr>
    <w:rPr>
      <w:szCs w:val="20"/>
    </w:rPr>
  </w:style>
  <w:style w:type="paragraph" w:customStyle="1" w:styleId="19">
    <w:name w:val="msonormalcxspmiddle"/>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32</Pages>
  <Words>25508</Words>
  <Characters>26662</Characters>
  <Lines>198</Lines>
  <Paragraphs>55</Paragraphs>
  <TotalTime>0</TotalTime>
  <ScaleCrop>false</ScaleCrop>
  <LinksUpToDate>false</LinksUpToDate>
  <CharactersWithSpaces>27306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2020-03-10T03:18:00Z</dcterms:created>
  <dc:creator>王卡尔</dc:creator>
  <cp:lastModifiedBy>喵了个咪</cp:lastModifiedBy>
  <dcterms:modified xsi:type="dcterms:W3CDTF">2022-10-31T10:24:23Z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3CC6165D705D46CDBC5739D18095D10D</vt:lpwstr>
  </property>
  <property fmtid="{D5CDD505-2E9C-101B-9397-08002B2CF9AE}" pid="3" name="KSOProductBuildVer">
    <vt:lpwstr>2052-11.1.0.12598</vt:lpwstr>
  </property>
</Properties>
</file>